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94" w:rsidRDefault="00117694" w:rsidP="00072757">
      <w:pPr>
        <w:rPr>
          <w:rFonts w:ascii="Unit-Regular" w:hAnsi="Unit-Regular"/>
          <w:b/>
        </w:rPr>
      </w:pPr>
      <w:r>
        <w:rPr>
          <w:rFonts w:ascii="Unit-Regular" w:hAnsi="Unit-Regular"/>
          <w:b/>
        </w:rPr>
        <w:t>Stadt Regis-Breitingen</w:t>
      </w:r>
    </w:p>
    <w:p w:rsidR="00381E09" w:rsidRDefault="00381E09" w:rsidP="00072757">
      <w:pPr>
        <w:rPr>
          <w:rFonts w:ascii="Unit-Regular" w:hAnsi="Unit-Regular"/>
          <w:b/>
        </w:rPr>
      </w:pPr>
      <w:r>
        <w:rPr>
          <w:rFonts w:ascii="Unit-Regular" w:hAnsi="Unit-Regular"/>
          <w:b/>
        </w:rPr>
        <w:t>Der Bürgermeister</w:t>
      </w:r>
    </w:p>
    <w:p w:rsidR="00381E09" w:rsidRDefault="00381E09" w:rsidP="00072757">
      <w:pPr>
        <w:rPr>
          <w:rFonts w:ascii="Unit-Regular" w:hAnsi="Unit-Regular"/>
          <w:b/>
        </w:rPr>
      </w:pPr>
    </w:p>
    <w:p w:rsidR="00072757" w:rsidRDefault="00072757" w:rsidP="00072757">
      <w:pPr>
        <w:rPr>
          <w:rFonts w:ascii="Unit-Regular" w:hAnsi="Unit-Regular"/>
          <w:b/>
        </w:rPr>
      </w:pPr>
      <w:r w:rsidRPr="004A5171">
        <w:rPr>
          <w:rFonts w:ascii="Unit-Regular" w:hAnsi="Unit-Regular"/>
          <w:b/>
        </w:rPr>
        <w:t>Beschlussvorlage Nr.</w:t>
      </w:r>
      <w:r w:rsidR="007E17BC">
        <w:rPr>
          <w:rFonts w:ascii="Unit-Regular" w:hAnsi="Unit-Regular"/>
          <w:b/>
        </w:rPr>
        <w:t xml:space="preserve"> </w:t>
      </w:r>
      <w:r w:rsidR="0060751C">
        <w:rPr>
          <w:rFonts w:ascii="Unit-Regular" w:hAnsi="Unit-Regular"/>
          <w:b/>
        </w:rPr>
        <w:t xml:space="preserve"> 01/09/2025</w:t>
      </w:r>
    </w:p>
    <w:p w:rsidR="004A5171" w:rsidRDefault="004A5171" w:rsidP="00072757">
      <w:pPr>
        <w:rPr>
          <w:rFonts w:ascii="Unit-Regular" w:hAnsi="Unit-Regular"/>
          <w:b/>
        </w:rPr>
      </w:pPr>
    </w:p>
    <w:tbl>
      <w:tblPr>
        <w:tblStyle w:val="Tabellen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A5171" w:rsidTr="00381E09">
        <w:trPr>
          <w:trHeight w:val="680"/>
        </w:trPr>
        <w:tc>
          <w:tcPr>
            <w:tcW w:w="4531" w:type="dxa"/>
            <w:tcBorders>
              <w:bottom w:val="single" w:sz="4" w:space="0" w:color="000000" w:themeColor="text1"/>
            </w:tcBorders>
          </w:tcPr>
          <w:p w:rsidR="004A5171" w:rsidRDefault="00381E09" w:rsidP="00381E09">
            <w:pPr>
              <w:ind w:left="-120" w:firstLine="22"/>
              <w:rPr>
                <w:rFonts w:ascii="Unit-Regular" w:hAnsi="Unit-Regular"/>
                <w:b/>
                <w:sz w:val="20"/>
              </w:rPr>
            </w:pPr>
            <w:r w:rsidRPr="00381E09">
              <w:rPr>
                <w:rFonts w:ascii="Unit-Regular" w:hAnsi="Unit-Regular"/>
                <w:b/>
                <w:sz w:val="20"/>
              </w:rPr>
              <w:t>Einreicher:</w:t>
            </w:r>
          </w:p>
          <w:p w:rsidR="00381E09" w:rsidRDefault="00075633" w:rsidP="00C17ED0">
            <w:pPr>
              <w:ind w:left="-120" w:firstLine="22"/>
              <w:rPr>
                <w:rFonts w:ascii="Unit-Regular" w:hAnsi="Unit-Regular"/>
                <w:b/>
              </w:rPr>
            </w:pPr>
            <w:r>
              <w:rPr>
                <w:rFonts w:ascii="Unit-Regular" w:hAnsi="Unit-Regular"/>
                <w:b/>
              </w:rPr>
              <w:t xml:space="preserve">Finanz- und Liegenschaftsverwaltung, Frau </w:t>
            </w:r>
            <w:r w:rsidR="001E0446">
              <w:rPr>
                <w:rFonts w:ascii="Unit-Regular" w:hAnsi="Unit-Regular"/>
                <w:b/>
              </w:rPr>
              <w:t>Butke</w:t>
            </w:r>
          </w:p>
        </w:tc>
        <w:tc>
          <w:tcPr>
            <w:tcW w:w="4531" w:type="dxa"/>
            <w:tcBorders>
              <w:bottom w:val="single" w:sz="4" w:space="0" w:color="000000" w:themeColor="text1"/>
            </w:tcBorders>
            <w:vAlign w:val="center"/>
          </w:tcPr>
          <w:p w:rsidR="004A5171" w:rsidRDefault="004A5171" w:rsidP="004A5171">
            <w:pPr>
              <w:ind w:left="0" w:firstLine="0"/>
              <w:jc w:val="right"/>
              <w:rPr>
                <w:rFonts w:ascii="Unit-Regular" w:hAnsi="Unit-Regular"/>
                <w:b/>
              </w:rPr>
            </w:pPr>
          </w:p>
        </w:tc>
      </w:tr>
      <w:tr w:rsidR="00381E09" w:rsidRPr="00381E09" w:rsidTr="00381E09">
        <w:trPr>
          <w:trHeight w:val="283"/>
        </w:trPr>
        <w:tc>
          <w:tcPr>
            <w:tcW w:w="4531" w:type="dxa"/>
            <w:tcBorders>
              <w:left w:val="nil"/>
            </w:tcBorders>
            <w:vAlign w:val="center"/>
          </w:tcPr>
          <w:p w:rsidR="00381E09" w:rsidRPr="00381E09" w:rsidRDefault="00381E09" w:rsidP="00381E09">
            <w:pPr>
              <w:ind w:left="-120" w:firstLine="22"/>
              <w:jc w:val="center"/>
              <w:rPr>
                <w:rFonts w:ascii="Unit-Regular" w:hAnsi="Unit-Regular"/>
                <w:b/>
                <w:sz w:val="18"/>
              </w:rPr>
            </w:pPr>
          </w:p>
        </w:tc>
        <w:tc>
          <w:tcPr>
            <w:tcW w:w="4531" w:type="dxa"/>
            <w:tcBorders>
              <w:right w:val="nil"/>
            </w:tcBorders>
            <w:vAlign w:val="center"/>
          </w:tcPr>
          <w:p w:rsidR="00381E09" w:rsidRPr="00381E09" w:rsidRDefault="00381E09" w:rsidP="00381E09">
            <w:pPr>
              <w:jc w:val="center"/>
              <w:rPr>
                <w:rFonts w:ascii="Unit-Regular" w:hAnsi="Unit-Regular"/>
                <w:b/>
                <w:sz w:val="18"/>
              </w:rPr>
            </w:pPr>
          </w:p>
        </w:tc>
      </w:tr>
      <w:tr w:rsidR="00381E09" w:rsidTr="00381E09">
        <w:trPr>
          <w:trHeight w:val="680"/>
        </w:trPr>
        <w:tc>
          <w:tcPr>
            <w:tcW w:w="4531" w:type="dxa"/>
          </w:tcPr>
          <w:p w:rsidR="00381E09" w:rsidRDefault="00381E09" w:rsidP="00381E09">
            <w:pPr>
              <w:ind w:left="-120" w:firstLine="22"/>
              <w:rPr>
                <w:rFonts w:ascii="Unit-Regular" w:hAnsi="Unit-Regular"/>
                <w:b/>
                <w:sz w:val="20"/>
              </w:rPr>
            </w:pPr>
            <w:r w:rsidRPr="00381E09">
              <w:rPr>
                <w:rFonts w:ascii="Unit-Regular" w:hAnsi="Unit-Regular"/>
                <w:b/>
                <w:sz w:val="20"/>
              </w:rPr>
              <w:t>Gegenstand:</w:t>
            </w:r>
          </w:p>
          <w:p w:rsidR="00A514EC" w:rsidRDefault="00F82F70" w:rsidP="00C17ED0">
            <w:pPr>
              <w:ind w:left="-120" w:firstLine="22"/>
              <w:rPr>
                <w:rFonts w:ascii="Unit-Regular" w:hAnsi="Unit-Regular"/>
                <w:b/>
              </w:rPr>
            </w:pPr>
            <w:r>
              <w:rPr>
                <w:rFonts w:ascii="Unit-Regular" w:hAnsi="Unit-Regular"/>
                <w:b/>
              </w:rPr>
              <w:t>Wirtschaftsplan Körperschaftswald</w:t>
            </w:r>
          </w:p>
        </w:tc>
        <w:tc>
          <w:tcPr>
            <w:tcW w:w="4531" w:type="dxa"/>
            <w:vAlign w:val="center"/>
          </w:tcPr>
          <w:p w:rsidR="00381E09" w:rsidRDefault="00381E09" w:rsidP="004A5171">
            <w:pPr>
              <w:jc w:val="right"/>
              <w:rPr>
                <w:rFonts w:ascii="Unit-Regular" w:hAnsi="Unit-Regular"/>
                <w:b/>
              </w:rPr>
            </w:pPr>
          </w:p>
        </w:tc>
      </w:tr>
    </w:tbl>
    <w:p w:rsidR="00072757" w:rsidRPr="004A5171" w:rsidRDefault="00072757" w:rsidP="00072757">
      <w:pPr>
        <w:jc w:val="both"/>
        <w:rPr>
          <w:rFonts w:ascii="Unit-Regular" w:hAnsi="Unit-Regula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59"/>
        <w:gridCol w:w="1785"/>
        <w:gridCol w:w="2058"/>
        <w:gridCol w:w="1625"/>
        <w:gridCol w:w="1835"/>
      </w:tblGrid>
      <w:tr w:rsidR="00381E09" w:rsidRP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P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Beratungsfolge</w:t>
            </w:r>
          </w:p>
        </w:tc>
        <w:tc>
          <w:tcPr>
            <w:tcW w:w="1785" w:type="dxa"/>
            <w:vAlign w:val="center"/>
          </w:tcPr>
          <w:p w:rsidR="00381E09" w:rsidRPr="00381E09" w:rsidRDefault="00381E09" w:rsidP="00381E09">
            <w:pPr>
              <w:ind w:left="-76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Sitzungstermine</w:t>
            </w:r>
          </w:p>
        </w:tc>
        <w:tc>
          <w:tcPr>
            <w:tcW w:w="2058" w:type="dxa"/>
            <w:vAlign w:val="center"/>
          </w:tcPr>
          <w:p w:rsidR="00381E09" w:rsidRP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öffentl./nichtöffentl.</w:t>
            </w:r>
          </w:p>
        </w:tc>
        <w:tc>
          <w:tcPr>
            <w:tcW w:w="1625" w:type="dxa"/>
            <w:vAlign w:val="center"/>
          </w:tcPr>
          <w:p w:rsidR="00381E09" w:rsidRPr="00381E09" w:rsidRDefault="00381E09" w:rsidP="00381E09">
            <w:pPr>
              <w:ind w:left="-2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Empfehlung</w:t>
            </w:r>
          </w:p>
        </w:tc>
        <w:tc>
          <w:tcPr>
            <w:tcW w:w="1835" w:type="dxa"/>
            <w:vAlign w:val="center"/>
          </w:tcPr>
          <w:p w:rsidR="00381E09" w:rsidRP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ohne Empfehlung</w:t>
            </w:r>
          </w:p>
        </w:tc>
      </w:tr>
      <w:tr w:rsid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Technischer Ausschuss</w:t>
            </w:r>
          </w:p>
        </w:tc>
        <w:tc>
          <w:tcPr>
            <w:tcW w:w="1785" w:type="dxa"/>
            <w:vAlign w:val="center"/>
          </w:tcPr>
          <w:p w:rsidR="00381E09" w:rsidRDefault="00381E09" w:rsidP="00381E09">
            <w:pPr>
              <w:ind w:left="-76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2058" w:type="dxa"/>
            <w:vAlign w:val="center"/>
          </w:tcPr>
          <w:p w:rsid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625" w:type="dxa"/>
            <w:vAlign w:val="center"/>
          </w:tcPr>
          <w:p w:rsidR="00381E09" w:rsidRDefault="00381E09" w:rsidP="00381E09">
            <w:pPr>
              <w:ind w:left="-20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sz w:val="22"/>
              </w:rPr>
            </w:pPr>
          </w:p>
        </w:tc>
      </w:tr>
      <w:tr w:rsid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Verwaltungs-ausschuss</w:t>
            </w:r>
          </w:p>
        </w:tc>
        <w:tc>
          <w:tcPr>
            <w:tcW w:w="1785" w:type="dxa"/>
            <w:vAlign w:val="center"/>
          </w:tcPr>
          <w:p w:rsidR="00381E09" w:rsidRDefault="00381E09" w:rsidP="00381E09">
            <w:pPr>
              <w:ind w:left="-76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2058" w:type="dxa"/>
            <w:vAlign w:val="center"/>
          </w:tcPr>
          <w:p w:rsid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625" w:type="dxa"/>
            <w:vAlign w:val="center"/>
          </w:tcPr>
          <w:p w:rsidR="00381E09" w:rsidRDefault="00381E09" w:rsidP="00381E09">
            <w:pPr>
              <w:ind w:left="-20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sz w:val="22"/>
              </w:rPr>
            </w:pPr>
          </w:p>
        </w:tc>
      </w:tr>
    </w:tbl>
    <w:p w:rsidR="00381E09" w:rsidRDefault="00381E09" w:rsidP="00072757">
      <w:pPr>
        <w:jc w:val="both"/>
        <w:rPr>
          <w:rFonts w:ascii="Unit-Regular" w:hAnsi="Unit-Regular"/>
          <w:sz w:val="22"/>
        </w:rPr>
      </w:pPr>
    </w:p>
    <w:p w:rsidR="00381E09" w:rsidRDefault="00381E09" w:rsidP="00072757">
      <w:pPr>
        <w:jc w:val="both"/>
        <w:rPr>
          <w:rFonts w:ascii="Unit-Regular" w:hAnsi="Unit-Regular"/>
          <w:b/>
          <w:sz w:val="22"/>
        </w:rPr>
      </w:pPr>
      <w:r w:rsidRPr="00381E09">
        <w:rPr>
          <w:rFonts w:ascii="Unit-Regular" w:hAnsi="Unit-Regular"/>
          <w:b/>
          <w:sz w:val="22"/>
        </w:rPr>
        <w:t>Beschlussvorschlag:</w:t>
      </w:r>
    </w:p>
    <w:p w:rsidR="00E462B2" w:rsidRDefault="00E462B2" w:rsidP="00072757">
      <w:pPr>
        <w:jc w:val="both"/>
        <w:rPr>
          <w:rFonts w:ascii="Unit-Regular" w:hAnsi="Unit-Regular"/>
          <w:b/>
          <w:sz w:val="22"/>
        </w:rPr>
      </w:pPr>
    </w:p>
    <w:p w:rsidR="00F82F70" w:rsidRDefault="00F82F70" w:rsidP="00F82F70">
      <w:r>
        <w:t>Gemäß § 48 des Sächsischen Waldgesetzes (SächsWaldG) beschließt der Stadtrat der Stadt Regis-Breitingen den vorliegenden Wirtschaftsplan, Planjahr 202</w:t>
      </w:r>
      <w:r w:rsidR="00E32B98">
        <w:t>5</w:t>
      </w:r>
      <w:r>
        <w:t>, für den Körperschafts-wald der Stadt Regis-Breitingen (Anlage 1) im Bereich des Staatsbetriebes Sachsenforst (Forstrevier Neuseenland).</w:t>
      </w:r>
    </w:p>
    <w:p w:rsidR="00F82F70" w:rsidRDefault="00F82F70" w:rsidP="00F82F70"/>
    <w:p w:rsidR="00C17ED0" w:rsidRPr="00381E09" w:rsidRDefault="00C17ED0" w:rsidP="00072757">
      <w:pPr>
        <w:jc w:val="both"/>
        <w:rPr>
          <w:rFonts w:ascii="Unit-Regular" w:hAnsi="Unit-Regular"/>
          <w:b/>
          <w:sz w:val="22"/>
        </w:rPr>
      </w:pPr>
    </w:p>
    <w:p w:rsidR="00E5687F" w:rsidRDefault="00E5687F" w:rsidP="00E462B2">
      <w:pPr>
        <w:rPr>
          <w:rFonts w:ascii="Unit-Regular" w:hAnsi="Unit-Regular"/>
          <w:b/>
        </w:rPr>
      </w:pPr>
    </w:p>
    <w:p w:rsidR="00381E09" w:rsidRPr="00AF33B5" w:rsidRDefault="00381E09" w:rsidP="00072757">
      <w:pPr>
        <w:jc w:val="both"/>
        <w:rPr>
          <w:rFonts w:ascii="Unit-Regular" w:hAnsi="Unit-Regular"/>
          <w:sz w:val="22"/>
          <w:szCs w:val="22"/>
        </w:rPr>
      </w:pPr>
    </w:p>
    <w:p w:rsidR="008B7D1C" w:rsidRPr="00AF33B5" w:rsidRDefault="008B7D1C" w:rsidP="006B7368">
      <w:pPr>
        <w:rPr>
          <w:rFonts w:ascii="Unit-Regular" w:hAnsi="Unit-Regular"/>
          <w:sz w:val="22"/>
          <w:szCs w:val="22"/>
        </w:rPr>
      </w:pPr>
    </w:p>
    <w:p w:rsidR="00117694" w:rsidRPr="00117694" w:rsidRDefault="00117694" w:rsidP="00117694">
      <w:pPr>
        <w:jc w:val="both"/>
        <w:rPr>
          <w:rFonts w:ascii="Unit-Regular" w:hAnsi="Unit-Regular"/>
          <w:sz w:val="22"/>
          <w:szCs w:val="18"/>
        </w:rPr>
      </w:pPr>
      <w:r w:rsidRPr="00117694">
        <w:rPr>
          <w:rFonts w:ascii="Unit-Regular" w:hAnsi="Unit-Regular"/>
          <w:sz w:val="22"/>
          <w:szCs w:val="18"/>
        </w:rPr>
        <w:t xml:space="preserve">Von der Beratung und Beschlussfassung war kein Mitglied des </w:t>
      </w:r>
      <w:r w:rsidR="00374152">
        <w:rPr>
          <w:rFonts w:ascii="Unit-Regular" w:hAnsi="Unit-Regular"/>
          <w:sz w:val="22"/>
          <w:szCs w:val="18"/>
        </w:rPr>
        <w:t>Stadtrates</w:t>
      </w:r>
      <w:r w:rsidRPr="00117694">
        <w:rPr>
          <w:rFonts w:ascii="Unit-Regular" w:hAnsi="Unit-Regular"/>
          <w:sz w:val="22"/>
          <w:szCs w:val="18"/>
        </w:rPr>
        <w:t xml:space="preserve"> ausgeschlossen.</w:t>
      </w:r>
    </w:p>
    <w:p w:rsidR="00532445" w:rsidRDefault="00532445" w:rsidP="006B7368">
      <w:pPr>
        <w:rPr>
          <w:rFonts w:ascii="Unit-Regular" w:hAnsi="Unit-Regular"/>
          <w:sz w:val="18"/>
          <w:szCs w:val="18"/>
        </w:rPr>
      </w:pPr>
    </w:p>
    <w:p w:rsidR="00532445" w:rsidRPr="004A5171" w:rsidRDefault="00532445" w:rsidP="006B7368">
      <w:pPr>
        <w:rPr>
          <w:rFonts w:ascii="Unit-Regular" w:hAnsi="Unit-Regular"/>
          <w:sz w:val="18"/>
          <w:szCs w:val="18"/>
        </w:rPr>
      </w:pPr>
    </w:p>
    <w:p w:rsidR="00A97819" w:rsidRPr="007B3212" w:rsidRDefault="00A97819" w:rsidP="00A97819">
      <w:pPr>
        <w:pStyle w:val="Textkrper"/>
        <w:rPr>
          <w:rFonts w:ascii="Unit-Regular" w:hAnsi="Unit-Regular"/>
          <w:b/>
        </w:rPr>
      </w:pPr>
      <w:r w:rsidRPr="007B3212">
        <w:rPr>
          <w:rFonts w:ascii="Unit-Regular" w:hAnsi="Unit-Regular"/>
          <w:b/>
        </w:rPr>
        <w:t>Abstimmungsergebnis: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871"/>
        <w:gridCol w:w="660"/>
        <w:gridCol w:w="3828"/>
        <w:gridCol w:w="708"/>
      </w:tblGrid>
      <w:tr w:rsidR="00A97819" w:rsidRPr="007B3212" w:rsidTr="00117694">
        <w:trPr>
          <w:trHeight w:val="45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F33B5" w:rsidP="007B3212">
            <w:pPr>
              <w:ind w:left="0" w:firstLine="0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Mitglieder Stadtrat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2441FE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15</w:t>
            </w:r>
            <w:bookmarkStart w:id="0" w:name="_GoBack"/>
            <w:bookmarkEnd w:id="0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davon anwesend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A97819" w:rsidRPr="007B3212" w:rsidRDefault="00AF33B5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 xml:space="preserve">   </w:t>
            </w: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7E17BC" w:rsidP="007B3212">
            <w:pPr>
              <w:ind w:left="0" w:firstLine="22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Ja-</w:t>
            </w:r>
            <w:r w:rsidR="00A97819" w:rsidRPr="007B3212">
              <w:rPr>
                <w:rFonts w:ascii="Unit-Regular" w:hAnsi="Unit-Regular"/>
                <w:sz w:val="22"/>
                <w:szCs w:val="24"/>
                <w:lang w:eastAsia="en-US"/>
              </w:rPr>
              <w:t>Stimmen</w:t>
            </w:r>
          </w:p>
        </w:tc>
        <w:tc>
          <w:tcPr>
            <w:tcW w:w="66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thinThickSmallGap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Nein-Stimmen</w:t>
            </w:r>
          </w:p>
        </w:tc>
        <w:tc>
          <w:tcPr>
            <w:tcW w:w="70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F33B5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 xml:space="preserve">   </w:t>
            </w: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22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Stimmenthaltungen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22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b/>
                <w:sz w:val="22"/>
                <w:szCs w:val="24"/>
                <w:lang w:eastAsia="en-US"/>
              </w:rPr>
              <w:t>beschlossen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b/>
                <w:sz w:val="22"/>
                <w:szCs w:val="24"/>
                <w:lang w:eastAsia="en-US"/>
              </w:rPr>
              <w:t>nicht beschlossen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</w:p>
        </w:tc>
      </w:tr>
    </w:tbl>
    <w:p w:rsidR="00DB3E0E" w:rsidRDefault="00DB3E0E" w:rsidP="00E462B2">
      <w:pPr>
        <w:widowControl w:val="0"/>
        <w:rPr>
          <w:rFonts w:ascii="Arial" w:hAnsi="Arial" w:cs="Arial"/>
          <w:snapToGrid w:val="0"/>
        </w:rPr>
      </w:pPr>
    </w:p>
    <w:sectPr w:rsidR="00DB3E0E" w:rsidSect="008B7D1C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2B2" w:rsidRDefault="00E462B2" w:rsidP="00E462B2">
      <w:r>
        <w:separator/>
      </w:r>
    </w:p>
  </w:endnote>
  <w:endnote w:type="continuationSeparator" w:id="0">
    <w:p w:rsidR="00E462B2" w:rsidRDefault="00E462B2" w:rsidP="00E4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t-Regular">
    <w:panose1 w:val="02000506040000020004"/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2B2" w:rsidRDefault="00E462B2" w:rsidP="00E462B2">
      <w:r>
        <w:separator/>
      </w:r>
    </w:p>
  </w:footnote>
  <w:footnote w:type="continuationSeparator" w:id="0">
    <w:p w:rsidR="00E462B2" w:rsidRDefault="00E462B2" w:rsidP="00E46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303D3"/>
    <w:multiLevelType w:val="hybridMultilevel"/>
    <w:tmpl w:val="842AA480"/>
    <w:lvl w:ilvl="0" w:tplc="CD34E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6C2B59"/>
    <w:multiLevelType w:val="hybridMultilevel"/>
    <w:tmpl w:val="047A2026"/>
    <w:lvl w:ilvl="0" w:tplc="FE66286C">
      <w:numFmt w:val="bullet"/>
      <w:lvlText w:val="-"/>
      <w:lvlJc w:val="left"/>
      <w:pPr>
        <w:ind w:left="1769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01"/>
    <w:rsid w:val="00072757"/>
    <w:rsid w:val="00075633"/>
    <w:rsid w:val="000E596A"/>
    <w:rsid w:val="00117694"/>
    <w:rsid w:val="00155292"/>
    <w:rsid w:val="001E0446"/>
    <w:rsid w:val="001F0633"/>
    <w:rsid w:val="002441FE"/>
    <w:rsid w:val="002825A7"/>
    <w:rsid w:val="00365055"/>
    <w:rsid w:val="00374152"/>
    <w:rsid w:val="00381E09"/>
    <w:rsid w:val="004A5171"/>
    <w:rsid w:val="004C09B6"/>
    <w:rsid w:val="0051737D"/>
    <w:rsid w:val="00532445"/>
    <w:rsid w:val="005C2F18"/>
    <w:rsid w:val="0060751C"/>
    <w:rsid w:val="00677F45"/>
    <w:rsid w:val="006A2473"/>
    <w:rsid w:val="006B18BD"/>
    <w:rsid w:val="006B7368"/>
    <w:rsid w:val="006D274B"/>
    <w:rsid w:val="006E23B4"/>
    <w:rsid w:val="0077415C"/>
    <w:rsid w:val="007B3212"/>
    <w:rsid w:val="007E17BC"/>
    <w:rsid w:val="00836FE9"/>
    <w:rsid w:val="008B7D1C"/>
    <w:rsid w:val="009718A7"/>
    <w:rsid w:val="009D005F"/>
    <w:rsid w:val="00A514EC"/>
    <w:rsid w:val="00A97819"/>
    <w:rsid w:val="00AF33B5"/>
    <w:rsid w:val="00B933C0"/>
    <w:rsid w:val="00BA3E20"/>
    <w:rsid w:val="00C17ED0"/>
    <w:rsid w:val="00C424F1"/>
    <w:rsid w:val="00CB762B"/>
    <w:rsid w:val="00D77DBC"/>
    <w:rsid w:val="00DA485D"/>
    <w:rsid w:val="00DB3E0E"/>
    <w:rsid w:val="00DD5101"/>
    <w:rsid w:val="00E32B98"/>
    <w:rsid w:val="00E462B2"/>
    <w:rsid w:val="00E5687F"/>
    <w:rsid w:val="00EE2134"/>
    <w:rsid w:val="00F82F70"/>
    <w:rsid w:val="00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83E9A"/>
  <w15:chartTrackingRefBased/>
  <w15:docId w15:val="{1974C839-66BA-45D0-B4A0-A6749E14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51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D5101"/>
    <w:pPr>
      <w:keepNext/>
      <w:outlineLvl w:val="0"/>
    </w:pPr>
    <w:rPr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5101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D5101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5101"/>
    <w:rPr>
      <w:rFonts w:ascii="Calibri" w:eastAsia="Times New Roman" w:hAnsi="Calibri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D5101"/>
    <w:pPr>
      <w:spacing w:after="120"/>
    </w:pPr>
    <w:rPr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D510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D5101"/>
    <w:pPr>
      <w:ind w:left="720"/>
      <w:contextualSpacing/>
    </w:pPr>
  </w:style>
  <w:style w:type="table" w:styleId="Tabellenraster">
    <w:name w:val="Table Grid"/>
    <w:basedOn w:val="NormaleTabelle"/>
    <w:uiPriority w:val="59"/>
    <w:rsid w:val="00072757"/>
    <w:pPr>
      <w:spacing w:after="0" w:line="240" w:lineRule="auto"/>
      <w:ind w:left="142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06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0633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462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462B2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462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462B2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steiniger</dc:creator>
  <cp:keywords/>
  <dc:description/>
  <cp:lastModifiedBy>steiniger</cp:lastModifiedBy>
  <cp:revision>5</cp:revision>
  <cp:lastPrinted>2025-03-17T10:00:00Z</cp:lastPrinted>
  <dcterms:created xsi:type="dcterms:W3CDTF">2025-02-27T12:38:00Z</dcterms:created>
  <dcterms:modified xsi:type="dcterms:W3CDTF">2025-03-17T10:00:00Z</dcterms:modified>
</cp:coreProperties>
</file>