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FE3B4E" w:rsidRPr="004A5171">
        <w:rPr>
          <w:rFonts w:ascii="Unit-Regular" w:hAnsi="Unit-Regular"/>
          <w:b/>
        </w:rPr>
        <w:t>0</w:t>
      </w:r>
      <w:r w:rsidR="00381E09">
        <w:rPr>
          <w:rFonts w:ascii="Unit-Regular" w:hAnsi="Unit-Regular"/>
          <w:b/>
        </w:rPr>
        <w:t>1/</w:t>
      </w:r>
      <w:r w:rsidR="006D274B">
        <w:rPr>
          <w:rFonts w:ascii="Unit-Regular" w:hAnsi="Unit-Regular"/>
          <w:b/>
        </w:rPr>
        <w:t>5</w:t>
      </w:r>
      <w:r w:rsidR="00252AB8">
        <w:rPr>
          <w:rFonts w:ascii="Unit-Regular" w:hAnsi="Unit-Regular"/>
          <w:b/>
        </w:rPr>
        <w:t>2</w:t>
      </w:r>
      <w:r w:rsidR="00FE3B4E" w:rsidRPr="004A5171">
        <w:rPr>
          <w:rFonts w:ascii="Unit-Regular" w:hAnsi="Unit-Regular"/>
          <w:b/>
        </w:rPr>
        <w:t>/202</w:t>
      </w:r>
      <w:r w:rsidR="00252AB8">
        <w:rPr>
          <w:rFonts w:ascii="Unit-Regular" w:hAnsi="Unit-Regular"/>
          <w:b/>
        </w:rPr>
        <w:t>4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5171" w:rsidTr="00381E09">
        <w:trPr>
          <w:trHeight w:val="680"/>
        </w:trPr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252AB8" w:rsidP="00252AB8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Feuerwehrverwaltung</w:t>
            </w:r>
            <w:r w:rsidR="00A514EC">
              <w:rPr>
                <w:rFonts w:ascii="Unit-Regular" w:hAnsi="Unit-Regular"/>
                <w:b/>
              </w:rPr>
              <w:t xml:space="preserve">, </w:t>
            </w:r>
            <w:r>
              <w:rPr>
                <w:rFonts w:ascii="Unit-Regular" w:hAnsi="Unit-Regular"/>
                <w:b/>
              </w:rPr>
              <w:t>Herr Jaekel</w:t>
            </w:r>
          </w:p>
        </w:tc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81E09">
        <w:trPr>
          <w:trHeight w:val="283"/>
        </w:trPr>
        <w:tc>
          <w:tcPr>
            <w:tcW w:w="4531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4531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252AB8" w:rsidTr="00A64570">
        <w:trPr>
          <w:trHeight w:val="680"/>
        </w:trPr>
        <w:tc>
          <w:tcPr>
            <w:tcW w:w="9062" w:type="dxa"/>
            <w:gridSpan w:val="2"/>
          </w:tcPr>
          <w:p w:rsidR="00252AB8" w:rsidRDefault="00252AB8" w:rsidP="00252AB8">
            <w:pPr>
              <w:ind w:left="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252AB8" w:rsidRDefault="00252AB8" w:rsidP="00252AB8">
            <w:pPr>
              <w:ind w:left="0" w:firstLine="0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Beschlussfassung zur Fortschreibung des Brandschutzbedarfsplanes der Stadt Regis-Breitingen</w:t>
            </w: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6D274B" w:rsidRDefault="006D274B" w:rsidP="006D274B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6D274B" w:rsidRDefault="006D274B" w:rsidP="006D274B">
      <w:pPr>
        <w:jc w:val="both"/>
        <w:rPr>
          <w:rFonts w:ascii="Unit-Regular" w:hAnsi="Unit-Regular"/>
          <w:sz w:val="22"/>
          <w:szCs w:val="22"/>
        </w:rPr>
      </w:pPr>
    </w:p>
    <w:p w:rsidR="00381E09" w:rsidRPr="00AF33B5" w:rsidRDefault="00252AB8" w:rsidP="00072757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Fortschreibung des Brandschutzbedarfsplanes der Stadt Regis-Breitingen wird in vorliegender Fassung Anlage 1 beschlossen.</w:t>
      </w:r>
    </w:p>
    <w:p w:rsidR="00CB762B" w:rsidRPr="00AF33B5" w:rsidRDefault="00CB762B" w:rsidP="00CB762B">
      <w:pPr>
        <w:rPr>
          <w:rFonts w:ascii="Unit-Regular" w:hAnsi="Unit-Regular"/>
          <w:sz w:val="22"/>
          <w:szCs w:val="22"/>
        </w:rPr>
      </w:pPr>
    </w:p>
    <w:p w:rsidR="00CB762B" w:rsidRPr="00CB762B" w:rsidRDefault="00CB762B" w:rsidP="00CB762B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6D274B" w:rsidRDefault="006D274B" w:rsidP="006D274B">
      <w:pPr>
        <w:jc w:val="both"/>
        <w:rPr>
          <w:rFonts w:ascii="Unit-Regular" w:hAnsi="Unit-Regular"/>
          <w:sz w:val="22"/>
          <w:szCs w:val="22"/>
        </w:rPr>
      </w:pPr>
    </w:p>
    <w:p w:rsidR="00252AB8" w:rsidRPr="0060248E" w:rsidRDefault="00252AB8" w:rsidP="006D274B">
      <w:pPr>
        <w:jc w:val="both"/>
        <w:rPr>
          <w:rFonts w:ascii="Unit-Regular" w:hAnsi="Unit-Regular"/>
          <w:sz w:val="22"/>
          <w:szCs w:val="22"/>
        </w:rPr>
      </w:pPr>
      <w:r w:rsidRPr="00252AB8">
        <w:rPr>
          <w:rFonts w:ascii="Unit-Regular" w:hAnsi="Unit-Regular"/>
          <w:sz w:val="22"/>
          <w:szCs w:val="22"/>
        </w:rPr>
        <w:t>Aufgrund von § 6 Abs. 1 Nr. 1 des Sächsischen Gesetzes über den Brandschutz, Rettungsdienst und Katastrophensc</w:t>
      </w:r>
      <w:r>
        <w:rPr>
          <w:rFonts w:ascii="Unit-Regular" w:hAnsi="Unit-Regular"/>
          <w:sz w:val="22"/>
          <w:szCs w:val="22"/>
        </w:rPr>
        <w:t xml:space="preserve">hutz (SächsBRKG) vom </w:t>
      </w:r>
      <w:r w:rsidRPr="00252AB8">
        <w:rPr>
          <w:rFonts w:ascii="Unit-Regular" w:hAnsi="Unit-Regular"/>
          <w:sz w:val="22"/>
          <w:szCs w:val="22"/>
        </w:rPr>
        <w:t xml:space="preserve">4. </w:t>
      </w:r>
      <w:r>
        <w:rPr>
          <w:rFonts w:ascii="Unit-Regular" w:hAnsi="Unit-Regular"/>
          <w:sz w:val="22"/>
          <w:szCs w:val="22"/>
        </w:rPr>
        <w:t xml:space="preserve">März </w:t>
      </w:r>
      <w:r w:rsidRPr="00252AB8">
        <w:rPr>
          <w:rFonts w:ascii="Unit-Regular" w:hAnsi="Unit-Regular"/>
          <w:sz w:val="22"/>
          <w:szCs w:val="22"/>
        </w:rPr>
        <w:t>20</w:t>
      </w:r>
      <w:r>
        <w:rPr>
          <w:rFonts w:ascii="Unit-Regular" w:hAnsi="Unit-Regular"/>
          <w:sz w:val="22"/>
          <w:szCs w:val="22"/>
        </w:rPr>
        <w:t>2</w:t>
      </w:r>
      <w:r w:rsidRPr="00252AB8">
        <w:rPr>
          <w:rFonts w:ascii="Unit-Regular" w:hAnsi="Unit-Regular"/>
          <w:sz w:val="22"/>
          <w:szCs w:val="22"/>
        </w:rPr>
        <w:t>4 (SächsGVBl. S. 2</w:t>
      </w:r>
      <w:r>
        <w:rPr>
          <w:rFonts w:ascii="Unit-Regular" w:hAnsi="Unit-Regular"/>
          <w:sz w:val="22"/>
          <w:szCs w:val="22"/>
        </w:rPr>
        <w:t>89</w:t>
      </w:r>
      <w:r w:rsidRPr="00252AB8">
        <w:rPr>
          <w:rFonts w:ascii="Unit-Regular" w:hAnsi="Unit-Regular"/>
          <w:sz w:val="22"/>
          <w:szCs w:val="22"/>
        </w:rPr>
        <w:t>) sind die örtlichen Brandschutzbehörden u. a. sachlich zuständig für die Aufstellung, Ausrüstung, Unterhaltung und den Einsatz einer den örtlichen Verhältnissen entsprechend leistungsfähigen Feuerwehr nach einem Brandschutzbedarfsplan.</w:t>
      </w:r>
      <w:r>
        <w:rPr>
          <w:rFonts w:ascii="Unit-Regular" w:hAnsi="Unit-Regular"/>
          <w:sz w:val="22"/>
          <w:szCs w:val="22"/>
        </w:rPr>
        <w:t xml:space="preserve"> </w:t>
      </w:r>
      <w:r w:rsidRPr="00252AB8">
        <w:rPr>
          <w:rFonts w:ascii="Unit-Regular" w:hAnsi="Unit-Regular"/>
          <w:sz w:val="22"/>
          <w:szCs w:val="22"/>
        </w:rPr>
        <w:t>Die Gemeinden sollen nach allgemein gültigen Regeln und unter Beachtung der Besonderheiten des Gemeindegebietes die Ausstattung und die Leistungsfähigkeit i</w:t>
      </w:r>
      <w:r>
        <w:rPr>
          <w:rFonts w:ascii="Unit-Regular" w:hAnsi="Unit-Regular"/>
          <w:sz w:val="22"/>
          <w:szCs w:val="22"/>
        </w:rPr>
        <w:t>hrer Feuerwehren be</w:t>
      </w:r>
      <w:r w:rsidRPr="00252AB8">
        <w:rPr>
          <w:rFonts w:ascii="Unit-Regular" w:hAnsi="Unit-Regular"/>
          <w:sz w:val="22"/>
          <w:szCs w:val="22"/>
        </w:rPr>
        <w:t>werten und die daraus erforderlichen Maßnahmen veranlassen.</w:t>
      </w:r>
      <w:r w:rsidR="00F551B1">
        <w:rPr>
          <w:rFonts w:ascii="Unit-Regular" w:hAnsi="Unit-Regular"/>
          <w:sz w:val="22"/>
          <w:szCs w:val="22"/>
        </w:rPr>
        <w:t xml:space="preserve"> </w:t>
      </w:r>
      <w:r w:rsidR="00F551B1" w:rsidRPr="00F551B1">
        <w:rPr>
          <w:rFonts w:ascii="Unit-Regular" w:hAnsi="Unit-Regular"/>
          <w:sz w:val="22"/>
          <w:szCs w:val="22"/>
        </w:rPr>
        <w:t>Der Brandschutzbedarfsplan ist in regelmäßigen Abständen (3 – 5 Jahre) zu überprüfen und fortzuschreiben.</w:t>
      </w:r>
      <w:r w:rsidR="00F551B1">
        <w:rPr>
          <w:rFonts w:ascii="Unit-Regular" w:hAnsi="Unit-Regular"/>
          <w:sz w:val="22"/>
          <w:szCs w:val="22"/>
        </w:rPr>
        <w:t xml:space="preserve"> Der bisherige Brandschutzbedarfsplan aus dem Jahr 2017 wurde bis dato nicht weiter aktualisiert, sodass die Fortschreibung, auch als Grundlage zum Erhalt von Fördermitteln, notwendig wurde. </w:t>
      </w:r>
      <w:bookmarkStart w:id="0" w:name="_GoBack"/>
      <w:bookmarkEnd w:id="0"/>
    </w:p>
    <w:p w:rsidR="00AF33B5" w:rsidRPr="00AF33B5" w:rsidRDefault="00AF33B5" w:rsidP="006B7368">
      <w:pPr>
        <w:rPr>
          <w:rFonts w:ascii="Unit-Regular" w:hAnsi="Unit-Regular"/>
          <w:sz w:val="22"/>
          <w:szCs w:val="22"/>
        </w:rPr>
      </w:pPr>
    </w:p>
    <w:p w:rsidR="00AF33B5" w:rsidRPr="00AF33B5" w:rsidRDefault="00AF33B5" w:rsidP="006B7368">
      <w:pPr>
        <w:rPr>
          <w:rFonts w:ascii="Unit-Regular" w:hAnsi="Unit-Regular"/>
          <w:sz w:val="22"/>
          <w:szCs w:val="22"/>
        </w:rPr>
      </w:pPr>
    </w:p>
    <w:p w:rsidR="008B7D1C" w:rsidRPr="00AF33B5" w:rsidRDefault="008B7D1C" w:rsidP="006B7368">
      <w:pPr>
        <w:rPr>
          <w:rFonts w:ascii="Unit-Regular" w:hAnsi="Unit-Regular"/>
          <w:sz w:val="22"/>
          <w:szCs w:val="22"/>
        </w:rPr>
      </w:pPr>
    </w:p>
    <w:p w:rsidR="00117694" w:rsidRPr="00117694" w:rsidRDefault="00117694" w:rsidP="00117694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 w:rsidR="00374152"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Default="00532445" w:rsidP="006B7368">
      <w:pPr>
        <w:rPr>
          <w:rFonts w:ascii="Unit-Regular" w:hAnsi="Unit-Regular"/>
          <w:sz w:val="18"/>
          <w:szCs w:val="18"/>
        </w:rPr>
      </w:pP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DB3E0E" w:rsidRDefault="00DB3E0E" w:rsidP="00DB3E0E">
      <w:pPr>
        <w:widowControl w:val="0"/>
        <w:rPr>
          <w:rFonts w:ascii="Arial" w:hAnsi="Arial" w:cs="Arial"/>
          <w:snapToGrid w:val="0"/>
        </w:rPr>
      </w:pPr>
    </w:p>
    <w:sectPr w:rsid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E596A"/>
    <w:rsid w:val="00117694"/>
    <w:rsid w:val="00155292"/>
    <w:rsid w:val="001F0633"/>
    <w:rsid w:val="00252AB8"/>
    <w:rsid w:val="002825A7"/>
    <w:rsid w:val="00365055"/>
    <w:rsid w:val="00374152"/>
    <w:rsid w:val="00381E09"/>
    <w:rsid w:val="004A5171"/>
    <w:rsid w:val="004C09B6"/>
    <w:rsid w:val="0051737D"/>
    <w:rsid w:val="00532445"/>
    <w:rsid w:val="005C2F18"/>
    <w:rsid w:val="00677F45"/>
    <w:rsid w:val="006A2473"/>
    <w:rsid w:val="006B18BD"/>
    <w:rsid w:val="006B7368"/>
    <w:rsid w:val="006D274B"/>
    <w:rsid w:val="006E23B4"/>
    <w:rsid w:val="0077415C"/>
    <w:rsid w:val="007B3212"/>
    <w:rsid w:val="007E17BC"/>
    <w:rsid w:val="00836FE9"/>
    <w:rsid w:val="008B7D1C"/>
    <w:rsid w:val="009718A7"/>
    <w:rsid w:val="009D005F"/>
    <w:rsid w:val="00A514EC"/>
    <w:rsid w:val="00A97819"/>
    <w:rsid w:val="00AF33B5"/>
    <w:rsid w:val="00B933C0"/>
    <w:rsid w:val="00BA3E20"/>
    <w:rsid w:val="00CB762B"/>
    <w:rsid w:val="00D77DBC"/>
    <w:rsid w:val="00DB3E0E"/>
    <w:rsid w:val="00DD5101"/>
    <w:rsid w:val="00F551B1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5118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jaekel</cp:lastModifiedBy>
  <cp:revision>2</cp:revision>
  <cp:lastPrinted>2022-11-14T12:27:00Z</cp:lastPrinted>
  <dcterms:created xsi:type="dcterms:W3CDTF">2024-05-16T08:50:00Z</dcterms:created>
  <dcterms:modified xsi:type="dcterms:W3CDTF">2024-05-16T08:50:00Z</dcterms:modified>
</cp:coreProperties>
</file>