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F1" w:rsidRDefault="00863EF1" w:rsidP="00863EF1"/>
    <w:p w:rsidR="00863EF1" w:rsidRPr="002179E3" w:rsidRDefault="00863EF1" w:rsidP="00863EF1">
      <w:pPr>
        <w:pStyle w:val="KeinLeerraum"/>
        <w:rPr>
          <w:sz w:val="20"/>
        </w:rPr>
      </w:pPr>
      <w:r w:rsidRPr="002179E3">
        <w:rPr>
          <w:sz w:val="20"/>
        </w:rPr>
        <w:t>Stadt Regis-Breitingen</w:t>
      </w:r>
    </w:p>
    <w:p w:rsidR="00863EF1" w:rsidRPr="002179E3" w:rsidRDefault="00863EF1" w:rsidP="00863EF1">
      <w:pPr>
        <w:pStyle w:val="KeinLeerraum"/>
        <w:rPr>
          <w:sz w:val="20"/>
        </w:rPr>
      </w:pPr>
      <w:r w:rsidRPr="002179E3">
        <w:rPr>
          <w:sz w:val="20"/>
        </w:rPr>
        <w:t>Der Bürgermeister</w:t>
      </w:r>
    </w:p>
    <w:p w:rsidR="00863EF1" w:rsidRDefault="00863EF1" w:rsidP="00863EF1">
      <w:pPr>
        <w:pStyle w:val="KeinLeerraum"/>
      </w:pPr>
    </w:p>
    <w:p w:rsidR="00863EF1" w:rsidRDefault="00863EF1" w:rsidP="00863EF1">
      <w:pPr>
        <w:pStyle w:val="KeinLeerraum"/>
        <w:rPr>
          <w:b/>
        </w:rPr>
      </w:pPr>
      <w:r w:rsidRPr="00B93A8A">
        <w:rPr>
          <w:b/>
        </w:rPr>
        <w:t>Beschlussvorlage Nr.</w:t>
      </w:r>
      <w:r w:rsidR="000B7D5C">
        <w:rPr>
          <w:b/>
        </w:rPr>
        <w:t>02</w:t>
      </w:r>
      <w:r>
        <w:rPr>
          <w:b/>
        </w:rPr>
        <w:t>/</w:t>
      </w:r>
      <w:r w:rsidR="000B7D5C">
        <w:rPr>
          <w:b/>
        </w:rPr>
        <w:t>51</w:t>
      </w:r>
      <w:r>
        <w:rPr>
          <w:b/>
        </w:rPr>
        <w:t>/202</w:t>
      </w:r>
      <w:r w:rsidR="00D541B2">
        <w:rPr>
          <w:b/>
        </w:rPr>
        <w:t>4</w:t>
      </w:r>
    </w:p>
    <w:p w:rsidR="00863EF1" w:rsidRDefault="00863EF1" w:rsidP="00863EF1">
      <w:pPr>
        <w:pStyle w:val="KeinLeerraum"/>
        <w:rPr>
          <w:b/>
        </w:rPr>
      </w:pPr>
    </w:p>
    <w:p w:rsidR="00863EF1" w:rsidRDefault="00863EF1" w:rsidP="00863EF1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Einreicher: </w:t>
      </w:r>
    </w:p>
    <w:p w:rsidR="00863EF1" w:rsidRPr="003E4C44" w:rsidRDefault="00863EF1" w:rsidP="00863EF1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Kämmerei Frau </w:t>
      </w:r>
      <w:r w:rsidR="000B7D5C">
        <w:t>Straßburger</w:t>
      </w:r>
    </w:p>
    <w:p w:rsidR="00863EF1" w:rsidRDefault="00863EF1" w:rsidP="00863EF1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63EF1" w:rsidRDefault="00863EF1" w:rsidP="00863EF1">
      <w:pPr>
        <w:pStyle w:val="KeinLeerraum"/>
        <w:rPr>
          <w:b/>
        </w:rPr>
      </w:pPr>
    </w:p>
    <w:p w:rsidR="00863EF1" w:rsidRDefault="00863EF1" w:rsidP="00863EF1">
      <w:pPr>
        <w:pStyle w:val="KeinLeerraum"/>
        <w:rPr>
          <w:b/>
        </w:rPr>
      </w:pPr>
    </w:p>
    <w:p w:rsidR="00863EF1" w:rsidRDefault="00863EF1" w:rsidP="00863EF1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Gegenstand:</w:t>
      </w:r>
    </w:p>
    <w:p w:rsidR="00863EF1" w:rsidRPr="003E4C44" w:rsidRDefault="00357CCE" w:rsidP="00863EF1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</w:t>
      </w:r>
      <w:r w:rsidR="00D541B2">
        <w:t>eststellung Jahresabschluss 2016</w:t>
      </w:r>
    </w:p>
    <w:p w:rsidR="00863EF1" w:rsidRPr="003E4C44" w:rsidRDefault="00863EF1" w:rsidP="00863EF1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63EF1" w:rsidRDefault="00863EF1" w:rsidP="00863EF1"/>
    <w:p w:rsidR="00863EF1" w:rsidRDefault="00863EF1" w:rsidP="00863E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1814"/>
        <w:gridCol w:w="2163"/>
        <w:gridCol w:w="1655"/>
        <w:gridCol w:w="1655"/>
      </w:tblGrid>
      <w:tr w:rsidR="00863EF1" w:rsidRPr="00B93A8A" w:rsidTr="00B22AA9">
        <w:tc>
          <w:tcPr>
            <w:tcW w:w="1842" w:type="dxa"/>
          </w:tcPr>
          <w:p w:rsidR="00863EF1" w:rsidRPr="00B93A8A" w:rsidRDefault="00863EF1" w:rsidP="00B22AA9">
            <w:r w:rsidRPr="00B93A8A">
              <w:t>Beratungsfolge</w:t>
            </w:r>
          </w:p>
        </w:tc>
        <w:tc>
          <w:tcPr>
            <w:tcW w:w="1842" w:type="dxa"/>
          </w:tcPr>
          <w:p w:rsidR="00863EF1" w:rsidRPr="00B93A8A" w:rsidRDefault="00863EF1" w:rsidP="00B22AA9">
            <w:r w:rsidRPr="00B93A8A">
              <w:t>Sitzungstermine</w:t>
            </w:r>
          </w:p>
        </w:tc>
        <w:tc>
          <w:tcPr>
            <w:tcW w:w="1842" w:type="dxa"/>
          </w:tcPr>
          <w:p w:rsidR="00863EF1" w:rsidRPr="00B93A8A" w:rsidRDefault="00863EF1" w:rsidP="00B22AA9">
            <w:proofErr w:type="spellStart"/>
            <w:r w:rsidRPr="00B93A8A">
              <w:t>öffentl</w:t>
            </w:r>
            <w:proofErr w:type="spellEnd"/>
            <w:r w:rsidRPr="00B93A8A">
              <w:t>./</w:t>
            </w:r>
            <w:proofErr w:type="spellStart"/>
            <w:r w:rsidRPr="00B93A8A">
              <w:t>nichtöffentl</w:t>
            </w:r>
            <w:proofErr w:type="spellEnd"/>
            <w:r w:rsidRPr="00B93A8A">
              <w:t>.</w:t>
            </w:r>
          </w:p>
        </w:tc>
        <w:tc>
          <w:tcPr>
            <w:tcW w:w="1843" w:type="dxa"/>
          </w:tcPr>
          <w:p w:rsidR="00863EF1" w:rsidRPr="00B93A8A" w:rsidRDefault="00863EF1" w:rsidP="00B22AA9">
            <w:r w:rsidRPr="00B93A8A">
              <w:t>Empfehlung</w:t>
            </w:r>
          </w:p>
        </w:tc>
        <w:tc>
          <w:tcPr>
            <w:tcW w:w="1843" w:type="dxa"/>
          </w:tcPr>
          <w:p w:rsidR="00863EF1" w:rsidRPr="00B93A8A" w:rsidRDefault="00863EF1" w:rsidP="00B22AA9">
            <w:r w:rsidRPr="00B93A8A">
              <w:t>Ohne Empfehlung</w:t>
            </w:r>
          </w:p>
        </w:tc>
      </w:tr>
      <w:tr w:rsidR="00863EF1" w:rsidRPr="00B93A8A" w:rsidTr="00B22AA9">
        <w:tc>
          <w:tcPr>
            <w:tcW w:w="1842" w:type="dxa"/>
          </w:tcPr>
          <w:p w:rsidR="00863EF1" w:rsidRPr="00B93A8A" w:rsidRDefault="00863EF1" w:rsidP="00B22AA9">
            <w:r w:rsidRPr="00B93A8A">
              <w:t>Technischer</w:t>
            </w:r>
          </w:p>
          <w:p w:rsidR="00863EF1" w:rsidRPr="00B93A8A" w:rsidRDefault="00863EF1" w:rsidP="00B22AA9">
            <w:r w:rsidRPr="00B93A8A">
              <w:t>Ausschuss</w:t>
            </w:r>
          </w:p>
        </w:tc>
        <w:tc>
          <w:tcPr>
            <w:tcW w:w="1842" w:type="dxa"/>
          </w:tcPr>
          <w:p w:rsidR="00863EF1" w:rsidRPr="00B93A8A" w:rsidRDefault="00863EF1" w:rsidP="00B22AA9"/>
        </w:tc>
        <w:tc>
          <w:tcPr>
            <w:tcW w:w="1842" w:type="dxa"/>
          </w:tcPr>
          <w:p w:rsidR="00863EF1" w:rsidRPr="00B93A8A" w:rsidRDefault="00863EF1" w:rsidP="00B22AA9"/>
        </w:tc>
        <w:tc>
          <w:tcPr>
            <w:tcW w:w="1843" w:type="dxa"/>
          </w:tcPr>
          <w:p w:rsidR="00863EF1" w:rsidRPr="00B93A8A" w:rsidRDefault="00863EF1" w:rsidP="00B22AA9"/>
        </w:tc>
        <w:tc>
          <w:tcPr>
            <w:tcW w:w="1843" w:type="dxa"/>
          </w:tcPr>
          <w:p w:rsidR="00863EF1" w:rsidRPr="00B93A8A" w:rsidRDefault="00863EF1" w:rsidP="00B22AA9"/>
        </w:tc>
      </w:tr>
      <w:tr w:rsidR="00863EF1" w:rsidRPr="00B93A8A" w:rsidTr="00B22AA9">
        <w:tc>
          <w:tcPr>
            <w:tcW w:w="1842" w:type="dxa"/>
          </w:tcPr>
          <w:p w:rsidR="00863EF1" w:rsidRPr="00B93A8A" w:rsidRDefault="00863EF1" w:rsidP="00B22AA9">
            <w:r w:rsidRPr="00B93A8A">
              <w:t>Verwaltungs-</w:t>
            </w:r>
          </w:p>
          <w:p w:rsidR="00863EF1" w:rsidRPr="00B93A8A" w:rsidRDefault="00863EF1" w:rsidP="00B22AA9">
            <w:proofErr w:type="spellStart"/>
            <w:r w:rsidRPr="00B93A8A">
              <w:t>ausschuss</w:t>
            </w:r>
            <w:proofErr w:type="spellEnd"/>
          </w:p>
        </w:tc>
        <w:tc>
          <w:tcPr>
            <w:tcW w:w="1842" w:type="dxa"/>
          </w:tcPr>
          <w:p w:rsidR="00863EF1" w:rsidRPr="00B93A8A" w:rsidRDefault="00863EF1" w:rsidP="00B22AA9"/>
        </w:tc>
        <w:tc>
          <w:tcPr>
            <w:tcW w:w="1842" w:type="dxa"/>
          </w:tcPr>
          <w:p w:rsidR="00863EF1" w:rsidRPr="00B93A8A" w:rsidRDefault="00863EF1" w:rsidP="00B22AA9"/>
        </w:tc>
        <w:tc>
          <w:tcPr>
            <w:tcW w:w="1843" w:type="dxa"/>
          </w:tcPr>
          <w:p w:rsidR="00863EF1" w:rsidRPr="00B93A8A" w:rsidRDefault="00863EF1" w:rsidP="00B22AA9"/>
        </w:tc>
        <w:tc>
          <w:tcPr>
            <w:tcW w:w="1843" w:type="dxa"/>
          </w:tcPr>
          <w:p w:rsidR="00863EF1" w:rsidRPr="00B93A8A" w:rsidRDefault="00863EF1" w:rsidP="00B22AA9"/>
        </w:tc>
      </w:tr>
    </w:tbl>
    <w:p w:rsidR="00863EF1" w:rsidRDefault="00863EF1" w:rsidP="00863EF1"/>
    <w:p w:rsidR="00863EF1" w:rsidRDefault="00863EF1" w:rsidP="00863EF1">
      <w:pPr>
        <w:rPr>
          <w:b/>
        </w:rPr>
      </w:pPr>
      <w:r w:rsidRPr="00B93A8A">
        <w:rPr>
          <w:b/>
        </w:rPr>
        <w:t>Beschlussvorschlag:</w:t>
      </w:r>
    </w:p>
    <w:p w:rsidR="00863EF1" w:rsidRDefault="00863EF1" w:rsidP="00863EF1">
      <w:pPr>
        <w:tabs>
          <w:tab w:val="right" w:leader="dot" w:pos="9072"/>
        </w:tabs>
        <w:rPr>
          <w:szCs w:val="24"/>
        </w:rPr>
      </w:pPr>
    </w:p>
    <w:p w:rsidR="00863EF1" w:rsidRPr="00AB7811" w:rsidRDefault="00863EF1" w:rsidP="00863EF1">
      <w:pPr>
        <w:tabs>
          <w:tab w:val="right" w:leader="dot" w:pos="9072"/>
        </w:tabs>
        <w:rPr>
          <w:szCs w:val="24"/>
        </w:rPr>
      </w:pPr>
    </w:p>
    <w:p w:rsidR="00357CCE" w:rsidRPr="00357CCE" w:rsidRDefault="00357CCE" w:rsidP="00357CCE">
      <w:pPr>
        <w:jc w:val="both"/>
        <w:rPr>
          <w:szCs w:val="24"/>
        </w:rPr>
      </w:pPr>
      <w:r w:rsidRPr="00357CCE">
        <w:rPr>
          <w:szCs w:val="24"/>
        </w:rPr>
        <w:t>Die Stadträte der Stadt Regis-Breitingen fassen folgenden Beschluss:</w:t>
      </w:r>
    </w:p>
    <w:p w:rsidR="00357CCE" w:rsidRPr="00357CCE" w:rsidRDefault="00357CCE" w:rsidP="00357CCE">
      <w:pPr>
        <w:jc w:val="both"/>
        <w:rPr>
          <w:szCs w:val="24"/>
        </w:rPr>
      </w:pPr>
    </w:p>
    <w:p w:rsidR="00357CCE" w:rsidRPr="00357CCE" w:rsidRDefault="00357CCE" w:rsidP="00357CCE">
      <w:pPr>
        <w:rPr>
          <w:szCs w:val="24"/>
        </w:rPr>
      </w:pPr>
    </w:p>
    <w:p w:rsidR="00357CCE" w:rsidRPr="00357CCE" w:rsidRDefault="00357CCE" w:rsidP="00357CCE">
      <w:pPr>
        <w:spacing w:after="120"/>
        <w:jc w:val="both"/>
        <w:rPr>
          <w:szCs w:val="24"/>
        </w:rPr>
      </w:pPr>
      <w:r w:rsidRPr="00357CCE">
        <w:rPr>
          <w:szCs w:val="24"/>
        </w:rPr>
        <w:t xml:space="preserve">Auf der Grundlage des § 88 und § 88b der </w:t>
      </w:r>
      <w:proofErr w:type="spellStart"/>
      <w:r w:rsidRPr="00357CCE">
        <w:rPr>
          <w:szCs w:val="24"/>
        </w:rPr>
        <w:t>SächsGemO</w:t>
      </w:r>
      <w:proofErr w:type="spellEnd"/>
      <w:r w:rsidRPr="00357CCE">
        <w:rPr>
          <w:szCs w:val="24"/>
        </w:rPr>
        <w:t xml:space="preserve"> vom 03.03.2014 in der derzeit gültigen Fassung und der Sächsischen Kommunalhaushaltsverordnung-Doppik – </w:t>
      </w:r>
      <w:proofErr w:type="spellStart"/>
      <w:r w:rsidRPr="00357CCE">
        <w:rPr>
          <w:szCs w:val="24"/>
        </w:rPr>
        <w:t>KomHVO</w:t>
      </w:r>
      <w:proofErr w:type="spellEnd"/>
      <w:r w:rsidRPr="00357CCE">
        <w:rPr>
          <w:szCs w:val="24"/>
        </w:rPr>
        <w:t xml:space="preserve">-Doppik vom 10.12.2013 in der derzeit gültigen Fassung hat der Stadtrat in seiner öffentlichen Sitzung am </w:t>
      </w:r>
      <w:r w:rsidR="00D541B2">
        <w:rPr>
          <w:szCs w:val="24"/>
        </w:rPr>
        <w:t>25.04.2024</w:t>
      </w:r>
      <w:r w:rsidRPr="00357CCE">
        <w:rPr>
          <w:szCs w:val="24"/>
        </w:rPr>
        <w:t xml:space="preserve"> den Jahresabschluss zum </w:t>
      </w:r>
      <w:r w:rsidR="00D541B2">
        <w:rPr>
          <w:szCs w:val="24"/>
        </w:rPr>
        <w:t>31.12.2016</w:t>
      </w:r>
      <w:r>
        <w:rPr>
          <w:szCs w:val="24"/>
        </w:rPr>
        <w:t xml:space="preserve"> der Stadt Regis-Breitingen</w:t>
      </w:r>
      <w:r w:rsidRPr="00357CCE">
        <w:rPr>
          <w:szCs w:val="24"/>
        </w:rPr>
        <w:t xml:space="preserve"> wie folgt festgestellt.</w:t>
      </w:r>
    </w:p>
    <w:p w:rsidR="00357CCE" w:rsidRPr="00357CCE" w:rsidRDefault="00357CCE" w:rsidP="00357CCE">
      <w:pPr>
        <w:spacing w:after="120"/>
        <w:rPr>
          <w:b/>
          <w:szCs w:val="24"/>
        </w:rPr>
      </w:pPr>
    </w:p>
    <w:p w:rsidR="00357CCE" w:rsidRPr="00357CCE" w:rsidRDefault="00D541B2" w:rsidP="00357CCE">
      <w:pPr>
        <w:jc w:val="both"/>
        <w:rPr>
          <w:szCs w:val="24"/>
        </w:rPr>
      </w:pPr>
      <w:r>
        <w:rPr>
          <w:szCs w:val="24"/>
        </w:rPr>
        <w:t>Ordentliches Ergebnis: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  <w:proofErr w:type="gramStart"/>
      <w:r w:rsidR="00833519">
        <w:rPr>
          <w:szCs w:val="24"/>
        </w:rPr>
        <w:tab/>
        <w:t xml:space="preserve">  540.263</w:t>
      </w:r>
      <w:proofErr w:type="gramEnd"/>
      <w:r w:rsidR="00833519">
        <w:rPr>
          <w:szCs w:val="24"/>
        </w:rPr>
        <w:t>,04</w:t>
      </w:r>
      <w:r w:rsidR="00357CCE" w:rsidRPr="00357CCE">
        <w:rPr>
          <w:szCs w:val="24"/>
        </w:rPr>
        <w:t xml:space="preserve"> Euro</w:t>
      </w:r>
    </w:p>
    <w:p w:rsidR="00357CCE" w:rsidRPr="00357CCE" w:rsidRDefault="00357CCE" w:rsidP="00357CCE">
      <w:pPr>
        <w:jc w:val="both"/>
        <w:rPr>
          <w:szCs w:val="24"/>
        </w:rPr>
      </w:pPr>
      <w:r w:rsidRPr="00357CCE">
        <w:rPr>
          <w:szCs w:val="24"/>
        </w:rPr>
        <w:t>Sonderergebnis:</w:t>
      </w:r>
      <w:r w:rsidRPr="00357CCE">
        <w:rPr>
          <w:szCs w:val="24"/>
        </w:rPr>
        <w:tab/>
      </w:r>
      <w:r w:rsidRPr="00357CCE">
        <w:rPr>
          <w:szCs w:val="24"/>
        </w:rPr>
        <w:tab/>
      </w:r>
      <w:r w:rsidRPr="00357CCE">
        <w:rPr>
          <w:szCs w:val="24"/>
        </w:rPr>
        <w:tab/>
      </w:r>
      <w:r w:rsidRPr="00357CCE">
        <w:rPr>
          <w:szCs w:val="24"/>
        </w:rPr>
        <w:tab/>
      </w:r>
      <w:r w:rsidRPr="00357CCE">
        <w:rPr>
          <w:szCs w:val="24"/>
        </w:rPr>
        <w:tab/>
      </w:r>
      <w:r w:rsidRPr="00357CCE">
        <w:rPr>
          <w:szCs w:val="24"/>
        </w:rPr>
        <w:tab/>
        <w:t xml:space="preserve">       </w:t>
      </w:r>
      <w:r>
        <w:rPr>
          <w:szCs w:val="24"/>
        </w:rPr>
        <w:t xml:space="preserve">   </w:t>
      </w:r>
      <w:r w:rsidR="00833519">
        <w:rPr>
          <w:szCs w:val="24"/>
        </w:rPr>
        <w:t xml:space="preserve"> </w:t>
      </w:r>
      <w:r w:rsidR="00227C70">
        <w:rPr>
          <w:szCs w:val="24"/>
        </w:rPr>
        <w:t xml:space="preserve"> </w:t>
      </w:r>
      <w:r w:rsidR="00833519">
        <w:rPr>
          <w:szCs w:val="24"/>
        </w:rPr>
        <w:t>-124.187,06</w:t>
      </w:r>
      <w:r w:rsidRPr="00357CCE">
        <w:rPr>
          <w:szCs w:val="24"/>
        </w:rPr>
        <w:t xml:space="preserve"> Euro</w:t>
      </w:r>
    </w:p>
    <w:p w:rsidR="00357CCE" w:rsidRPr="00357CCE" w:rsidRDefault="00D541B2" w:rsidP="00357CCE">
      <w:pPr>
        <w:jc w:val="both"/>
        <w:rPr>
          <w:szCs w:val="24"/>
        </w:rPr>
      </w:pPr>
      <w:r>
        <w:rPr>
          <w:szCs w:val="24"/>
        </w:rPr>
        <w:t>Gesamtergebnis: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  <w:r w:rsidR="00833519">
        <w:rPr>
          <w:szCs w:val="24"/>
        </w:rPr>
        <w:t xml:space="preserve">   416.075,98</w:t>
      </w:r>
      <w:r w:rsidR="00357CCE" w:rsidRPr="00357CCE">
        <w:rPr>
          <w:szCs w:val="24"/>
        </w:rPr>
        <w:t xml:space="preserve"> Euro</w:t>
      </w:r>
    </w:p>
    <w:p w:rsidR="00357CCE" w:rsidRPr="00357CCE" w:rsidRDefault="00357CCE" w:rsidP="00357CCE">
      <w:pPr>
        <w:jc w:val="both"/>
        <w:rPr>
          <w:szCs w:val="24"/>
        </w:rPr>
      </w:pPr>
      <w:r w:rsidRPr="00357CCE">
        <w:rPr>
          <w:szCs w:val="24"/>
        </w:rPr>
        <w:t xml:space="preserve"> </w:t>
      </w:r>
    </w:p>
    <w:p w:rsidR="00357CCE" w:rsidRPr="00357CCE" w:rsidRDefault="00357CCE" w:rsidP="00357CCE">
      <w:pPr>
        <w:jc w:val="both"/>
        <w:rPr>
          <w:szCs w:val="24"/>
        </w:rPr>
      </w:pPr>
      <w:r w:rsidRPr="00357CCE">
        <w:rPr>
          <w:szCs w:val="24"/>
        </w:rPr>
        <w:t>Abdeckung von Fehlbeträgen im orde</w:t>
      </w:r>
      <w:r w:rsidR="00D541B2">
        <w:rPr>
          <w:szCs w:val="24"/>
        </w:rPr>
        <w:t xml:space="preserve">ntlichen Ergebnis aus VJ: </w:t>
      </w:r>
      <w:r w:rsidR="00D541B2">
        <w:rPr>
          <w:szCs w:val="24"/>
        </w:rPr>
        <w:tab/>
      </w:r>
      <w:r w:rsidR="00D541B2">
        <w:rPr>
          <w:szCs w:val="24"/>
        </w:rPr>
        <w:tab/>
      </w:r>
      <w:r w:rsidRPr="00357CCE">
        <w:rPr>
          <w:szCs w:val="24"/>
        </w:rPr>
        <w:t>0,00 Euro</w:t>
      </w:r>
    </w:p>
    <w:p w:rsidR="00357CCE" w:rsidRPr="00357CCE" w:rsidRDefault="00357CCE" w:rsidP="00357CCE">
      <w:pPr>
        <w:jc w:val="both"/>
        <w:rPr>
          <w:szCs w:val="24"/>
        </w:rPr>
      </w:pPr>
      <w:r w:rsidRPr="00357CCE">
        <w:rPr>
          <w:szCs w:val="24"/>
        </w:rPr>
        <w:t>Abdeckung von Fehlbeträgen im Sonderergebnis aus VJ:</w:t>
      </w:r>
      <w:r w:rsidRPr="00357CCE">
        <w:rPr>
          <w:szCs w:val="24"/>
        </w:rPr>
        <w:tab/>
      </w:r>
      <w:r w:rsidRPr="00357CCE">
        <w:rPr>
          <w:szCs w:val="24"/>
        </w:rPr>
        <w:tab/>
        <w:t xml:space="preserve">   </w:t>
      </w:r>
      <w:r w:rsidR="00196C62">
        <w:rPr>
          <w:szCs w:val="24"/>
        </w:rPr>
        <w:t xml:space="preserve">   </w:t>
      </w:r>
      <w:r w:rsidRPr="00357CCE">
        <w:rPr>
          <w:szCs w:val="24"/>
        </w:rPr>
        <w:t xml:space="preserve">     </w:t>
      </w:r>
      <w:r w:rsidR="00227C70">
        <w:rPr>
          <w:szCs w:val="24"/>
        </w:rPr>
        <w:t xml:space="preserve"> </w:t>
      </w:r>
      <w:r w:rsidRPr="00357CCE">
        <w:rPr>
          <w:szCs w:val="24"/>
        </w:rPr>
        <w:t>0,00 Euro</w:t>
      </w:r>
    </w:p>
    <w:p w:rsidR="00357CCE" w:rsidRPr="00357CCE" w:rsidRDefault="00357CCE" w:rsidP="00357CCE">
      <w:pPr>
        <w:jc w:val="both"/>
        <w:rPr>
          <w:szCs w:val="24"/>
        </w:rPr>
      </w:pPr>
    </w:p>
    <w:p w:rsidR="00227C70" w:rsidRDefault="00357CCE" w:rsidP="00357CCE">
      <w:pPr>
        <w:jc w:val="both"/>
        <w:rPr>
          <w:szCs w:val="24"/>
        </w:rPr>
      </w:pPr>
      <w:r w:rsidRPr="00357CCE">
        <w:rPr>
          <w:szCs w:val="24"/>
        </w:rPr>
        <w:t>Verrechnung von Fehlbeträgen</w:t>
      </w:r>
      <w:r w:rsidR="00227C70">
        <w:rPr>
          <w:szCs w:val="24"/>
        </w:rPr>
        <w:t xml:space="preserve"> des ord. Ergebnisses</w:t>
      </w:r>
      <w:r w:rsidRPr="00357CCE">
        <w:rPr>
          <w:szCs w:val="24"/>
        </w:rPr>
        <w:t xml:space="preserve"> </w:t>
      </w:r>
    </w:p>
    <w:p w:rsidR="00357CCE" w:rsidRDefault="00357CCE" w:rsidP="00357CCE">
      <w:pPr>
        <w:jc w:val="both"/>
        <w:rPr>
          <w:szCs w:val="24"/>
        </w:rPr>
      </w:pPr>
      <w:r w:rsidRPr="00357CCE">
        <w:rPr>
          <w:szCs w:val="24"/>
        </w:rPr>
        <w:t>mit dem Basiskapital:</w:t>
      </w:r>
      <w:r w:rsidRPr="00357CCE">
        <w:rPr>
          <w:szCs w:val="24"/>
        </w:rPr>
        <w:tab/>
      </w:r>
      <w:r w:rsidR="00227C70">
        <w:rPr>
          <w:szCs w:val="24"/>
        </w:rPr>
        <w:tab/>
      </w:r>
      <w:r w:rsidR="00227C70">
        <w:rPr>
          <w:szCs w:val="24"/>
        </w:rPr>
        <w:tab/>
      </w:r>
      <w:r w:rsidR="00227C70">
        <w:rPr>
          <w:szCs w:val="24"/>
        </w:rPr>
        <w:tab/>
      </w:r>
      <w:r w:rsidR="00227C70">
        <w:rPr>
          <w:szCs w:val="24"/>
        </w:rPr>
        <w:tab/>
      </w:r>
      <w:r w:rsidR="00227C70">
        <w:rPr>
          <w:szCs w:val="24"/>
        </w:rPr>
        <w:tab/>
      </w:r>
      <w:r w:rsidR="00227C70">
        <w:rPr>
          <w:szCs w:val="24"/>
        </w:rPr>
        <w:tab/>
        <w:t xml:space="preserve"> </w:t>
      </w:r>
      <w:r w:rsidR="00D541B2">
        <w:rPr>
          <w:szCs w:val="24"/>
        </w:rPr>
        <w:tab/>
        <w:t>0,00</w:t>
      </w:r>
      <w:r w:rsidRPr="00357CCE">
        <w:rPr>
          <w:szCs w:val="24"/>
        </w:rPr>
        <w:t xml:space="preserve"> Euro</w:t>
      </w:r>
    </w:p>
    <w:p w:rsidR="00227C70" w:rsidRDefault="00227C70" w:rsidP="00357CCE">
      <w:pPr>
        <w:jc w:val="both"/>
        <w:rPr>
          <w:szCs w:val="24"/>
        </w:rPr>
      </w:pPr>
    </w:p>
    <w:p w:rsidR="00227C70" w:rsidRDefault="00227C70" w:rsidP="00227C70">
      <w:pPr>
        <w:jc w:val="both"/>
        <w:rPr>
          <w:szCs w:val="24"/>
        </w:rPr>
      </w:pPr>
      <w:r w:rsidRPr="00357CCE">
        <w:rPr>
          <w:szCs w:val="24"/>
        </w:rPr>
        <w:t>Verrechnung von Fehlbeträgen</w:t>
      </w:r>
      <w:r>
        <w:rPr>
          <w:szCs w:val="24"/>
        </w:rPr>
        <w:t xml:space="preserve"> des Sonderergebnisses</w:t>
      </w:r>
      <w:r w:rsidRPr="00357CCE">
        <w:rPr>
          <w:szCs w:val="24"/>
        </w:rPr>
        <w:t xml:space="preserve"> </w:t>
      </w:r>
    </w:p>
    <w:p w:rsidR="00227C70" w:rsidRPr="00357CCE" w:rsidRDefault="00227C70" w:rsidP="00227C70">
      <w:pPr>
        <w:jc w:val="both"/>
        <w:rPr>
          <w:szCs w:val="24"/>
        </w:rPr>
      </w:pPr>
      <w:r w:rsidRPr="00357CCE">
        <w:rPr>
          <w:szCs w:val="24"/>
        </w:rPr>
        <w:t>mit dem Basiskapital:</w:t>
      </w:r>
      <w:r w:rsidRPr="00357CCE">
        <w:rPr>
          <w:szCs w:val="24"/>
        </w:rPr>
        <w:tab/>
      </w:r>
      <w:r w:rsidR="00D541B2">
        <w:rPr>
          <w:szCs w:val="24"/>
        </w:rPr>
        <w:tab/>
      </w:r>
      <w:r w:rsidR="00D541B2">
        <w:rPr>
          <w:szCs w:val="24"/>
        </w:rPr>
        <w:tab/>
      </w:r>
      <w:r w:rsidR="00D541B2">
        <w:rPr>
          <w:szCs w:val="24"/>
        </w:rPr>
        <w:tab/>
      </w:r>
      <w:r w:rsidR="00D541B2">
        <w:rPr>
          <w:szCs w:val="24"/>
        </w:rPr>
        <w:tab/>
      </w:r>
      <w:r w:rsidR="00D541B2">
        <w:rPr>
          <w:szCs w:val="24"/>
        </w:rPr>
        <w:tab/>
      </w:r>
      <w:r w:rsidR="00D541B2">
        <w:rPr>
          <w:szCs w:val="24"/>
        </w:rPr>
        <w:tab/>
        <w:t xml:space="preserve"> 124.187,06</w:t>
      </w:r>
      <w:r w:rsidRPr="00357CCE">
        <w:rPr>
          <w:szCs w:val="24"/>
        </w:rPr>
        <w:t xml:space="preserve"> Euro</w:t>
      </w:r>
    </w:p>
    <w:p w:rsidR="00227C70" w:rsidRPr="00357CCE" w:rsidRDefault="00227C70" w:rsidP="00357CCE">
      <w:pPr>
        <w:jc w:val="both"/>
        <w:rPr>
          <w:szCs w:val="24"/>
        </w:rPr>
      </w:pPr>
    </w:p>
    <w:p w:rsidR="00357CCE" w:rsidRPr="00357CCE" w:rsidRDefault="00357CCE" w:rsidP="00357CCE">
      <w:pPr>
        <w:jc w:val="both"/>
        <w:rPr>
          <w:szCs w:val="24"/>
        </w:rPr>
      </w:pPr>
    </w:p>
    <w:p w:rsidR="00357CCE" w:rsidRPr="00357CCE" w:rsidRDefault="00357CCE" w:rsidP="00357CCE">
      <w:pPr>
        <w:jc w:val="both"/>
        <w:rPr>
          <w:szCs w:val="24"/>
        </w:rPr>
      </w:pPr>
      <w:r w:rsidRPr="00357CCE">
        <w:rPr>
          <w:szCs w:val="24"/>
        </w:rPr>
        <w:t>Veränderu</w:t>
      </w:r>
      <w:r w:rsidR="00373B49">
        <w:rPr>
          <w:szCs w:val="24"/>
        </w:rPr>
        <w:t xml:space="preserve">ng des Finanzmittelbestandes: </w:t>
      </w:r>
      <w:r w:rsidR="00373B49">
        <w:rPr>
          <w:szCs w:val="24"/>
        </w:rPr>
        <w:tab/>
      </w:r>
      <w:r w:rsidR="00373B49">
        <w:rPr>
          <w:szCs w:val="24"/>
        </w:rPr>
        <w:tab/>
      </w:r>
      <w:r w:rsidR="00373B49">
        <w:rPr>
          <w:szCs w:val="24"/>
        </w:rPr>
        <w:tab/>
      </w:r>
      <w:r w:rsidR="00373B49">
        <w:rPr>
          <w:szCs w:val="24"/>
        </w:rPr>
        <w:tab/>
      </w:r>
      <w:r w:rsidR="00C468BF">
        <w:rPr>
          <w:szCs w:val="24"/>
        </w:rPr>
        <w:t>605.691,48</w:t>
      </w:r>
      <w:r w:rsidRPr="00357CCE">
        <w:rPr>
          <w:szCs w:val="24"/>
        </w:rPr>
        <w:t xml:space="preserve"> Euro</w:t>
      </w:r>
    </w:p>
    <w:p w:rsidR="00357CCE" w:rsidRPr="00357CCE" w:rsidRDefault="00357CCE" w:rsidP="00357CCE">
      <w:pPr>
        <w:jc w:val="both"/>
        <w:rPr>
          <w:szCs w:val="24"/>
        </w:rPr>
      </w:pPr>
      <w:r w:rsidRPr="00357CCE">
        <w:rPr>
          <w:szCs w:val="24"/>
        </w:rPr>
        <w:lastRenderedPageBreak/>
        <w:t>Endbestand an Zahlungsmitteln:</w:t>
      </w:r>
      <w:r w:rsidRPr="00357CCE">
        <w:rPr>
          <w:szCs w:val="24"/>
        </w:rPr>
        <w:tab/>
      </w:r>
      <w:r w:rsidRPr="00357CCE">
        <w:rPr>
          <w:szCs w:val="24"/>
        </w:rPr>
        <w:tab/>
      </w:r>
      <w:r w:rsidRPr="00357CCE">
        <w:rPr>
          <w:szCs w:val="24"/>
        </w:rPr>
        <w:tab/>
      </w:r>
      <w:r w:rsidRPr="00357CCE">
        <w:rPr>
          <w:szCs w:val="24"/>
        </w:rPr>
        <w:tab/>
      </w:r>
      <w:r>
        <w:rPr>
          <w:szCs w:val="24"/>
        </w:rPr>
        <w:t xml:space="preserve">      </w:t>
      </w:r>
      <w:r w:rsidR="00196C62">
        <w:rPr>
          <w:szCs w:val="24"/>
        </w:rPr>
        <w:t xml:space="preserve">   </w:t>
      </w:r>
      <w:r w:rsidR="00FA5D06">
        <w:rPr>
          <w:szCs w:val="24"/>
        </w:rPr>
        <w:t>3.807.141,56</w:t>
      </w:r>
      <w:r w:rsidRPr="00357CCE">
        <w:rPr>
          <w:szCs w:val="24"/>
        </w:rPr>
        <w:t xml:space="preserve"> Euro</w:t>
      </w:r>
    </w:p>
    <w:p w:rsidR="00357CCE" w:rsidRPr="00357CCE" w:rsidRDefault="00357CCE" w:rsidP="00357CCE">
      <w:pPr>
        <w:jc w:val="both"/>
        <w:rPr>
          <w:szCs w:val="24"/>
        </w:rPr>
      </w:pPr>
    </w:p>
    <w:p w:rsidR="00357CCE" w:rsidRPr="00357CCE" w:rsidRDefault="00357CCE" w:rsidP="00357CCE">
      <w:pPr>
        <w:jc w:val="both"/>
        <w:rPr>
          <w:szCs w:val="24"/>
        </w:rPr>
      </w:pPr>
      <w:r w:rsidRPr="00357CCE">
        <w:rPr>
          <w:szCs w:val="24"/>
        </w:rPr>
        <w:t>Bilanzsumme je:</w:t>
      </w:r>
      <w:r w:rsidRPr="00357CCE">
        <w:rPr>
          <w:szCs w:val="24"/>
        </w:rPr>
        <w:tab/>
      </w:r>
      <w:r w:rsidRPr="00357CCE">
        <w:rPr>
          <w:szCs w:val="24"/>
        </w:rPr>
        <w:tab/>
      </w:r>
      <w:r w:rsidRPr="00357CCE">
        <w:rPr>
          <w:szCs w:val="24"/>
        </w:rPr>
        <w:tab/>
      </w:r>
      <w:r w:rsidRPr="00357CCE">
        <w:rPr>
          <w:szCs w:val="24"/>
        </w:rPr>
        <w:tab/>
      </w:r>
      <w:r w:rsidRPr="00357CCE">
        <w:rPr>
          <w:szCs w:val="24"/>
        </w:rPr>
        <w:tab/>
      </w:r>
      <w:r w:rsidRPr="00357CCE">
        <w:rPr>
          <w:szCs w:val="24"/>
        </w:rPr>
        <w:tab/>
        <w:t xml:space="preserve">    </w:t>
      </w:r>
      <w:r w:rsidR="00196C62">
        <w:rPr>
          <w:szCs w:val="24"/>
        </w:rPr>
        <w:t xml:space="preserve">   3</w:t>
      </w:r>
      <w:r w:rsidR="00373B49">
        <w:rPr>
          <w:szCs w:val="24"/>
        </w:rPr>
        <w:t>4</w:t>
      </w:r>
      <w:r w:rsidR="00196C62">
        <w:rPr>
          <w:szCs w:val="24"/>
        </w:rPr>
        <w:t>.</w:t>
      </w:r>
      <w:r w:rsidR="00373B49">
        <w:rPr>
          <w:szCs w:val="24"/>
        </w:rPr>
        <w:t>006.948,22</w:t>
      </w:r>
      <w:r w:rsidRPr="00357CCE">
        <w:rPr>
          <w:szCs w:val="24"/>
        </w:rPr>
        <w:t xml:space="preserve"> Euro</w:t>
      </w:r>
    </w:p>
    <w:p w:rsidR="00357CCE" w:rsidRPr="00357CCE" w:rsidRDefault="00357CCE" w:rsidP="00357CCE">
      <w:pPr>
        <w:jc w:val="both"/>
        <w:rPr>
          <w:szCs w:val="24"/>
        </w:rPr>
      </w:pPr>
    </w:p>
    <w:p w:rsidR="00357CCE" w:rsidRDefault="00373B49" w:rsidP="00357CCE">
      <w:pPr>
        <w:rPr>
          <w:szCs w:val="24"/>
        </w:rPr>
      </w:pPr>
      <w:r>
        <w:rPr>
          <w:szCs w:val="24"/>
        </w:rPr>
        <w:t xml:space="preserve">Es wurden </w:t>
      </w:r>
      <w:r w:rsidR="00357CCE" w:rsidRPr="00357CCE">
        <w:rPr>
          <w:szCs w:val="24"/>
        </w:rPr>
        <w:t xml:space="preserve">Korrekturen nach § 62 Abs. 1 </w:t>
      </w:r>
      <w:proofErr w:type="spellStart"/>
      <w:r w:rsidR="00357CCE" w:rsidRPr="00357CCE">
        <w:rPr>
          <w:szCs w:val="24"/>
        </w:rPr>
        <w:t>SächsKomHVO</w:t>
      </w:r>
      <w:proofErr w:type="spellEnd"/>
      <w:r w:rsidR="00357CCE" w:rsidRPr="00357CCE">
        <w:rPr>
          <w:szCs w:val="24"/>
        </w:rPr>
        <w:t>-Doppik d</w:t>
      </w:r>
      <w:r w:rsidR="003506D2">
        <w:rPr>
          <w:szCs w:val="24"/>
        </w:rPr>
        <w:t>er Eröffnungsbilanz vorgenommen: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0"/>
        <w:gridCol w:w="2553"/>
        <w:gridCol w:w="1702"/>
        <w:gridCol w:w="1819"/>
        <w:gridCol w:w="1716"/>
      </w:tblGrid>
      <w:tr w:rsidR="003506D2" w:rsidRPr="007913E4" w:rsidTr="004000B3">
        <w:trPr>
          <w:trHeight w:val="315"/>
        </w:trPr>
        <w:tc>
          <w:tcPr>
            <w:tcW w:w="9060" w:type="dxa"/>
            <w:gridSpan w:val="5"/>
            <w:noWrap/>
            <w:hideMark/>
          </w:tcPr>
          <w:p w:rsidR="003506D2" w:rsidRPr="007913E4" w:rsidRDefault="003506D2" w:rsidP="004000B3">
            <w:pPr>
              <w:autoSpaceDE w:val="0"/>
              <w:autoSpaceDN w:val="0"/>
              <w:adjustRightInd w:val="0"/>
              <w:jc w:val="both"/>
              <w:rPr>
                <w:rFonts w:ascii="Unit-Regular" w:hAnsi="Unit-Regular"/>
                <w:b/>
                <w:szCs w:val="24"/>
              </w:rPr>
            </w:pPr>
            <w:r>
              <w:rPr>
                <w:rFonts w:ascii="Unit-Regular" w:hAnsi="Unit-Regular"/>
                <w:b/>
                <w:szCs w:val="24"/>
              </w:rPr>
              <w:t>Korrekturen Basiskapital 2016</w:t>
            </w:r>
          </w:p>
        </w:tc>
      </w:tr>
      <w:tr w:rsidR="003506D2" w:rsidRPr="007913E4" w:rsidTr="004000B3">
        <w:trPr>
          <w:trHeight w:val="315"/>
        </w:trPr>
        <w:tc>
          <w:tcPr>
            <w:tcW w:w="1270" w:type="dxa"/>
            <w:noWrap/>
            <w:hideMark/>
          </w:tcPr>
          <w:p w:rsidR="003506D2" w:rsidRPr="007913E4" w:rsidRDefault="003506D2" w:rsidP="004000B3">
            <w:pPr>
              <w:autoSpaceDE w:val="0"/>
              <w:autoSpaceDN w:val="0"/>
              <w:adjustRightInd w:val="0"/>
              <w:jc w:val="both"/>
              <w:rPr>
                <w:rFonts w:ascii="Unit-Regular" w:hAnsi="Unit-Regular"/>
                <w:b/>
                <w:szCs w:val="24"/>
              </w:rPr>
            </w:pPr>
            <w:r>
              <w:rPr>
                <w:rFonts w:ascii="Unit-Regular" w:hAnsi="Unit-Regular"/>
                <w:b/>
                <w:szCs w:val="24"/>
              </w:rPr>
              <w:t>K</w:t>
            </w:r>
            <w:r w:rsidRPr="007913E4">
              <w:rPr>
                <w:rFonts w:ascii="Unit-Regular" w:hAnsi="Unit-Regular"/>
                <w:b/>
                <w:szCs w:val="24"/>
              </w:rPr>
              <w:t>onto</w:t>
            </w:r>
          </w:p>
        </w:tc>
        <w:tc>
          <w:tcPr>
            <w:tcW w:w="2553" w:type="dxa"/>
            <w:noWrap/>
            <w:hideMark/>
          </w:tcPr>
          <w:p w:rsidR="003506D2" w:rsidRPr="007913E4" w:rsidRDefault="003506D2" w:rsidP="004000B3">
            <w:pPr>
              <w:autoSpaceDE w:val="0"/>
              <w:autoSpaceDN w:val="0"/>
              <w:adjustRightInd w:val="0"/>
              <w:jc w:val="both"/>
              <w:rPr>
                <w:rFonts w:ascii="Unit-Regular" w:hAnsi="Unit-Regular"/>
                <w:b/>
                <w:szCs w:val="24"/>
              </w:rPr>
            </w:pPr>
            <w:r w:rsidRPr="007913E4">
              <w:rPr>
                <w:rFonts w:ascii="Unit-Regular" w:hAnsi="Unit-Regular"/>
                <w:b/>
                <w:szCs w:val="24"/>
              </w:rPr>
              <w:t>Bezeichnung</w:t>
            </w:r>
          </w:p>
        </w:tc>
        <w:tc>
          <w:tcPr>
            <w:tcW w:w="1702" w:type="dxa"/>
            <w:noWrap/>
            <w:hideMark/>
          </w:tcPr>
          <w:p w:rsidR="003506D2" w:rsidRPr="007913E4" w:rsidRDefault="003506D2" w:rsidP="004000B3">
            <w:pPr>
              <w:autoSpaceDE w:val="0"/>
              <w:autoSpaceDN w:val="0"/>
              <w:adjustRightInd w:val="0"/>
              <w:jc w:val="both"/>
              <w:rPr>
                <w:rFonts w:ascii="Unit-Regular" w:hAnsi="Unit-Regular"/>
                <w:b/>
                <w:szCs w:val="24"/>
              </w:rPr>
            </w:pPr>
            <w:r w:rsidRPr="007913E4">
              <w:rPr>
                <w:rFonts w:ascii="Unit-Regular" w:hAnsi="Unit-Regular"/>
                <w:b/>
                <w:szCs w:val="24"/>
              </w:rPr>
              <w:t>Soll</w:t>
            </w:r>
          </w:p>
        </w:tc>
        <w:tc>
          <w:tcPr>
            <w:tcW w:w="1819" w:type="dxa"/>
            <w:noWrap/>
            <w:hideMark/>
          </w:tcPr>
          <w:p w:rsidR="003506D2" w:rsidRPr="007913E4" w:rsidRDefault="003506D2" w:rsidP="004000B3">
            <w:pPr>
              <w:autoSpaceDE w:val="0"/>
              <w:autoSpaceDN w:val="0"/>
              <w:adjustRightInd w:val="0"/>
              <w:jc w:val="both"/>
              <w:rPr>
                <w:rFonts w:ascii="Unit-Regular" w:hAnsi="Unit-Regular"/>
                <w:b/>
                <w:szCs w:val="24"/>
              </w:rPr>
            </w:pPr>
            <w:r w:rsidRPr="007913E4">
              <w:rPr>
                <w:rFonts w:ascii="Unit-Regular" w:hAnsi="Unit-Regular"/>
                <w:b/>
                <w:szCs w:val="24"/>
              </w:rPr>
              <w:t>Haben</w:t>
            </w:r>
          </w:p>
        </w:tc>
        <w:tc>
          <w:tcPr>
            <w:tcW w:w="1716" w:type="dxa"/>
            <w:noWrap/>
            <w:hideMark/>
          </w:tcPr>
          <w:p w:rsidR="003506D2" w:rsidRPr="007913E4" w:rsidRDefault="003506D2" w:rsidP="004000B3">
            <w:pPr>
              <w:autoSpaceDE w:val="0"/>
              <w:autoSpaceDN w:val="0"/>
              <w:adjustRightInd w:val="0"/>
              <w:jc w:val="both"/>
              <w:rPr>
                <w:rFonts w:ascii="Unit-Regular" w:hAnsi="Unit-Regular"/>
                <w:b/>
                <w:szCs w:val="24"/>
              </w:rPr>
            </w:pPr>
            <w:r w:rsidRPr="007913E4">
              <w:rPr>
                <w:rFonts w:ascii="Unit-Regular" w:hAnsi="Unit-Regular"/>
                <w:b/>
                <w:szCs w:val="24"/>
              </w:rPr>
              <w:t>Saldo</w:t>
            </w:r>
          </w:p>
        </w:tc>
      </w:tr>
      <w:tr w:rsidR="003506D2" w:rsidRPr="007913E4" w:rsidTr="004000B3">
        <w:trPr>
          <w:trHeight w:val="315"/>
        </w:trPr>
        <w:tc>
          <w:tcPr>
            <w:tcW w:w="1270" w:type="dxa"/>
            <w:noWrap/>
            <w:hideMark/>
          </w:tcPr>
          <w:p w:rsidR="003506D2" w:rsidRPr="007913E4" w:rsidRDefault="003506D2" w:rsidP="004000B3">
            <w:pPr>
              <w:autoSpaceDE w:val="0"/>
              <w:autoSpaceDN w:val="0"/>
              <w:adjustRightInd w:val="0"/>
              <w:jc w:val="both"/>
              <w:rPr>
                <w:rFonts w:ascii="Unit-Regular" w:hAnsi="Unit-Regular"/>
                <w:b/>
                <w:szCs w:val="24"/>
              </w:rPr>
            </w:pPr>
            <w:r w:rsidRPr="007913E4">
              <w:rPr>
                <w:rFonts w:ascii="Unit-Regular" w:hAnsi="Unit-Regular"/>
                <w:b/>
                <w:szCs w:val="24"/>
              </w:rPr>
              <w:t> </w:t>
            </w:r>
          </w:p>
        </w:tc>
        <w:tc>
          <w:tcPr>
            <w:tcW w:w="2553" w:type="dxa"/>
            <w:noWrap/>
            <w:hideMark/>
          </w:tcPr>
          <w:p w:rsidR="003506D2" w:rsidRPr="007913E4" w:rsidRDefault="003506D2" w:rsidP="004000B3">
            <w:pPr>
              <w:autoSpaceDE w:val="0"/>
              <w:autoSpaceDN w:val="0"/>
              <w:adjustRightInd w:val="0"/>
              <w:jc w:val="both"/>
              <w:rPr>
                <w:rFonts w:ascii="Unit-Regular" w:hAnsi="Unit-Regular"/>
                <w:b/>
                <w:szCs w:val="24"/>
              </w:rPr>
            </w:pPr>
            <w:r w:rsidRPr="007913E4">
              <w:rPr>
                <w:rFonts w:ascii="Unit-Regular" w:hAnsi="Unit-Regular"/>
                <w:b/>
                <w:szCs w:val="24"/>
              </w:rPr>
              <w:t> </w:t>
            </w:r>
          </w:p>
        </w:tc>
        <w:tc>
          <w:tcPr>
            <w:tcW w:w="1702" w:type="dxa"/>
            <w:noWrap/>
            <w:hideMark/>
          </w:tcPr>
          <w:p w:rsidR="003506D2" w:rsidRPr="007913E4" w:rsidRDefault="003506D2" w:rsidP="004000B3">
            <w:pPr>
              <w:autoSpaceDE w:val="0"/>
              <w:autoSpaceDN w:val="0"/>
              <w:adjustRightInd w:val="0"/>
              <w:jc w:val="both"/>
              <w:rPr>
                <w:rFonts w:ascii="Unit-Regular" w:hAnsi="Unit-Regular"/>
                <w:b/>
                <w:szCs w:val="24"/>
              </w:rPr>
            </w:pPr>
            <w:r w:rsidRPr="007913E4">
              <w:rPr>
                <w:rFonts w:ascii="Unit-Regular" w:hAnsi="Unit-Regular"/>
                <w:b/>
                <w:szCs w:val="24"/>
              </w:rPr>
              <w:t>€</w:t>
            </w:r>
          </w:p>
        </w:tc>
        <w:tc>
          <w:tcPr>
            <w:tcW w:w="1819" w:type="dxa"/>
            <w:noWrap/>
            <w:hideMark/>
          </w:tcPr>
          <w:p w:rsidR="003506D2" w:rsidRPr="007913E4" w:rsidRDefault="003506D2" w:rsidP="004000B3">
            <w:pPr>
              <w:autoSpaceDE w:val="0"/>
              <w:autoSpaceDN w:val="0"/>
              <w:adjustRightInd w:val="0"/>
              <w:jc w:val="both"/>
              <w:rPr>
                <w:rFonts w:ascii="Unit-Regular" w:hAnsi="Unit-Regular"/>
                <w:b/>
                <w:szCs w:val="24"/>
              </w:rPr>
            </w:pPr>
            <w:r w:rsidRPr="007913E4">
              <w:rPr>
                <w:rFonts w:ascii="Unit-Regular" w:hAnsi="Unit-Regular"/>
                <w:b/>
                <w:szCs w:val="24"/>
              </w:rPr>
              <w:t>€</w:t>
            </w:r>
          </w:p>
        </w:tc>
        <w:tc>
          <w:tcPr>
            <w:tcW w:w="1716" w:type="dxa"/>
            <w:noWrap/>
            <w:hideMark/>
          </w:tcPr>
          <w:p w:rsidR="003506D2" w:rsidRPr="007913E4" w:rsidRDefault="003506D2" w:rsidP="004000B3">
            <w:pPr>
              <w:autoSpaceDE w:val="0"/>
              <w:autoSpaceDN w:val="0"/>
              <w:adjustRightInd w:val="0"/>
              <w:jc w:val="both"/>
              <w:rPr>
                <w:rFonts w:ascii="Unit-Regular" w:hAnsi="Unit-Regular"/>
                <w:b/>
                <w:szCs w:val="24"/>
              </w:rPr>
            </w:pPr>
            <w:r w:rsidRPr="007913E4">
              <w:rPr>
                <w:rFonts w:ascii="Unit-Regular" w:hAnsi="Unit-Regular"/>
                <w:b/>
                <w:szCs w:val="24"/>
              </w:rPr>
              <w:t>€</w:t>
            </w:r>
          </w:p>
        </w:tc>
      </w:tr>
      <w:tr w:rsidR="003506D2" w:rsidRPr="007913E4" w:rsidTr="004000B3">
        <w:trPr>
          <w:trHeight w:val="315"/>
        </w:trPr>
        <w:tc>
          <w:tcPr>
            <w:tcW w:w="1270" w:type="dxa"/>
            <w:noWrap/>
            <w:hideMark/>
          </w:tcPr>
          <w:p w:rsidR="003506D2" w:rsidRPr="007913E4" w:rsidRDefault="003506D2" w:rsidP="004000B3">
            <w:pPr>
              <w:autoSpaceDE w:val="0"/>
              <w:autoSpaceDN w:val="0"/>
              <w:adjustRightInd w:val="0"/>
              <w:jc w:val="both"/>
              <w:rPr>
                <w:rFonts w:ascii="Unit-Regular" w:hAnsi="Unit-Regular"/>
                <w:b/>
                <w:szCs w:val="24"/>
              </w:rPr>
            </w:pPr>
            <w:r>
              <w:rPr>
                <w:rFonts w:ascii="Unit-Regular" w:hAnsi="Unit-Regular"/>
                <w:b/>
                <w:szCs w:val="24"/>
              </w:rPr>
              <w:t>201000</w:t>
            </w:r>
          </w:p>
        </w:tc>
        <w:tc>
          <w:tcPr>
            <w:tcW w:w="2553" w:type="dxa"/>
            <w:noWrap/>
            <w:hideMark/>
          </w:tcPr>
          <w:p w:rsidR="003506D2" w:rsidRPr="007913E4" w:rsidRDefault="003506D2" w:rsidP="004000B3">
            <w:pPr>
              <w:autoSpaceDE w:val="0"/>
              <w:autoSpaceDN w:val="0"/>
              <w:adjustRightInd w:val="0"/>
              <w:jc w:val="both"/>
              <w:rPr>
                <w:rFonts w:ascii="Unit-Regular" w:hAnsi="Unit-Regular"/>
                <w:b/>
                <w:szCs w:val="24"/>
              </w:rPr>
            </w:pPr>
            <w:r w:rsidRPr="007913E4">
              <w:rPr>
                <w:rFonts w:ascii="Unit-Regular" w:hAnsi="Unit-Regular"/>
                <w:b/>
                <w:szCs w:val="24"/>
              </w:rPr>
              <w:t xml:space="preserve">Anfangsbestand </w:t>
            </w:r>
            <w:r>
              <w:rPr>
                <w:rFonts w:ascii="Unit-Regular" w:hAnsi="Unit-Regular"/>
                <w:b/>
                <w:szCs w:val="24"/>
              </w:rPr>
              <w:t>Basis</w:t>
            </w:r>
            <w:r w:rsidRPr="007913E4">
              <w:rPr>
                <w:rFonts w:ascii="Unit-Regular" w:hAnsi="Unit-Regular"/>
                <w:b/>
                <w:szCs w:val="24"/>
              </w:rPr>
              <w:t>kapital</w:t>
            </w:r>
          </w:p>
        </w:tc>
        <w:tc>
          <w:tcPr>
            <w:tcW w:w="1702" w:type="dxa"/>
            <w:noWrap/>
            <w:hideMark/>
          </w:tcPr>
          <w:p w:rsidR="003506D2" w:rsidRPr="007913E4" w:rsidRDefault="003506D2" w:rsidP="004000B3">
            <w:pPr>
              <w:autoSpaceDE w:val="0"/>
              <w:autoSpaceDN w:val="0"/>
              <w:adjustRightInd w:val="0"/>
              <w:jc w:val="both"/>
              <w:rPr>
                <w:rFonts w:ascii="Unit-Regular" w:hAnsi="Unit-Regular"/>
                <w:b/>
                <w:szCs w:val="24"/>
              </w:rPr>
            </w:pPr>
            <w:r w:rsidRPr="007913E4">
              <w:rPr>
                <w:rFonts w:ascii="Unit-Regular" w:hAnsi="Unit-Regular"/>
                <w:b/>
                <w:szCs w:val="24"/>
              </w:rPr>
              <w:t xml:space="preserve">                    -     </w:t>
            </w:r>
          </w:p>
        </w:tc>
        <w:tc>
          <w:tcPr>
            <w:tcW w:w="1819" w:type="dxa"/>
            <w:noWrap/>
            <w:hideMark/>
          </w:tcPr>
          <w:p w:rsidR="003506D2" w:rsidRPr="007913E4" w:rsidRDefault="003506D2" w:rsidP="004000B3">
            <w:pPr>
              <w:autoSpaceDE w:val="0"/>
              <w:autoSpaceDN w:val="0"/>
              <w:adjustRightInd w:val="0"/>
              <w:jc w:val="both"/>
              <w:rPr>
                <w:rFonts w:ascii="Unit-Regular" w:hAnsi="Unit-Regular"/>
                <w:b/>
                <w:szCs w:val="24"/>
              </w:rPr>
            </w:pPr>
            <w:r>
              <w:rPr>
                <w:rFonts w:ascii="Unit-Regular" w:hAnsi="Unit-Regular"/>
                <w:b/>
                <w:szCs w:val="24"/>
              </w:rPr>
              <w:t xml:space="preserve">  15.357.881,47</w:t>
            </w:r>
            <w:r w:rsidRPr="007913E4">
              <w:rPr>
                <w:rFonts w:ascii="Unit-Regular" w:hAnsi="Unit-Regular"/>
                <w:b/>
                <w:szCs w:val="24"/>
              </w:rPr>
              <w:t xml:space="preserve">   </w:t>
            </w:r>
          </w:p>
        </w:tc>
        <w:tc>
          <w:tcPr>
            <w:tcW w:w="1716" w:type="dxa"/>
            <w:noWrap/>
            <w:hideMark/>
          </w:tcPr>
          <w:p w:rsidR="003506D2" w:rsidRPr="007913E4" w:rsidRDefault="002869C2" w:rsidP="004000B3">
            <w:pPr>
              <w:autoSpaceDE w:val="0"/>
              <w:autoSpaceDN w:val="0"/>
              <w:adjustRightInd w:val="0"/>
              <w:jc w:val="both"/>
              <w:rPr>
                <w:rFonts w:ascii="Unit-Regular" w:hAnsi="Unit-Regular"/>
                <w:b/>
                <w:szCs w:val="24"/>
              </w:rPr>
            </w:pPr>
            <w:r>
              <w:rPr>
                <w:rFonts w:ascii="Unit-Regular" w:hAnsi="Unit-Regular"/>
                <w:b/>
                <w:szCs w:val="24"/>
              </w:rPr>
              <w:t>15.357.881,47</w:t>
            </w:r>
            <w:r w:rsidRPr="007913E4">
              <w:rPr>
                <w:rFonts w:ascii="Unit-Regular" w:hAnsi="Unit-Regular"/>
                <w:b/>
                <w:szCs w:val="24"/>
              </w:rPr>
              <w:t xml:space="preserve">   </w:t>
            </w:r>
          </w:p>
        </w:tc>
      </w:tr>
      <w:tr w:rsidR="003506D2" w:rsidRPr="007913E4" w:rsidTr="004000B3">
        <w:trPr>
          <w:trHeight w:val="630"/>
        </w:trPr>
        <w:tc>
          <w:tcPr>
            <w:tcW w:w="1270" w:type="dxa"/>
            <w:noWrap/>
          </w:tcPr>
          <w:p w:rsidR="003506D2" w:rsidRDefault="003506D2" w:rsidP="004000B3">
            <w:pPr>
              <w:autoSpaceDE w:val="0"/>
              <w:autoSpaceDN w:val="0"/>
              <w:adjustRightInd w:val="0"/>
              <w:jc w:val="both"/>
              <w:rPr>
                <w:rFonts w:ascii="Unit-Regular" w:hAnsi="Unit-Regular"/>
                <w:b/>
                <w:szCs w:val="24"/>
              </w:rPr>
            </w:pPr>
            <w:r>
              <w:rPr>
                <w:rFonts w:ascii="Unit-Regular" w:hAnsi="Unit-Regular"/>
                <w:b/>
                <w:szCs w:val="24"/>
              </w:rPr>
              <w:t>201000</w:t>
            </w:r>
          </w:p>
        </w:tc>
        <w:tc>
          <w:tcPr>
            <w:tcW w:w="2553" w:type="dxa"/>
          </w:tcPr>
          <w:p w:rsidR="003506D2" w:rsidRDefault="002869C2" w:rsidP="002869C2">
            <w:pPr>
              <w:autoSpaceDE w:val="0"/>
              <w:autoSpaceDN w:val="0"/>
              <w:adjustRightInd w:val="0"/>
              <w:jc w:val="both"/>
              <w:rPr>
                <w:rFonts w:ascii="Unit-Regular" w:hAnsi="Unit-Regular"/>
                <w:b/>
                <w:szCs w:val="24"/>
              </w:rPr>
            </w:pPr>
            <w:r>
              <w:rPr>
                <w:rFonts w:ascii="Unit-Regular" w:hAnsi="Unit-Regular"/>
                <w:b/>
                <w:szCs w:val="24"/>
              </w:rPr>
              <w:t>Veränderung Basiskap</w:t>
            </w:r>
            <w:r w:rsidR="003506D2">
              <w:rPr>
                <w:rFonts w:ascii="Unit-Regular" w:hAnsi="Unit-Regular"/>
                <w:b/>
                <w:szCs w:val="24"/>
              </w:rPr>
              <w:t xml:space="preserve">ital </w:t>
            </w:r>
            <w:r>
              <w:rPr>
                <w:rFonts w:ascii="Unit-Regular" w:hAnsi="Unit-Regular"/>
                <w:b/>
                <w:szCs w:val="24"/>
              </w:rPr>
              <w:t>durch Korr. EÖB in JA 2016</w:t>
            </w:r>
          </w:p>
        </w:tc>
        <w:tc>
          <w:tcPr>
            <w:tcW w:w="1702" w:type="dxa"/>
            <w:noWrap/>
          </w:tcPr>
          <w:p w:rsidR="003506D2" w:rsidRPr="007913E4" w:rsidRDefault="002869C2" w:rsidP="002869C2">
            <w:pPr>
              <w:autoSpaceDE w:val="0"/>
              <w:autoSpaceDN w:val="0"/>
              <w:adjustRightInd w:val="0"/>
              <w:jc w:val="both"/>
              <w:rPr>
                <w:rFonts w:ascii="Unit-Regular" w:hAnsi="Unit-Regular"/>
                <w:b/>
                <w:szCs w:val="24"/>
              </w:rPr>
            </w:pPr>
            <w:r>
              <w:rPr>
                <w:rFonts w:ascii="Unit-Regular" w:hAnsi="Unit-Regular"/>
                <w:b/>
                <w:szCs w:val="24"/>
              </w:rPr>
              <w:t>2.937.236,58</w:t>
            </w:r>
          </w:p>
        </w:tc>
        <w:tc>
          <w:tcPr>
            <w:tcW w:w="1819" w:type="dxa"/>
            <w:noWrap/>
          </w:tcPr>
          <w:p w:rsidR="003506D2" w:rsidRDefault="002869C2" w:rsidP="002869C2">
            <w:pPr>
              <w:autoSpaceDE w:val="0"/>
              <w:autoSpaceDN w:val="0"/>
              <w:adjustRightInd w:val="0"/>
              <w:jc w:val="center"/>
              <w:rPr>
                <w:rFonts w:ascii="Unit-Regular" w:hAnsi="Unit-Regular"/>
                <w:b/>
                <w:szCs w:val="24"/>
              </w:rPr>
            </w:pPr>
            <w:r>
              <w:rPr>
                <w:rFonts w:ascii="Unit-Regular" w:hAnsi="Unit-Regular"/>
                <w:b/>
                <w:szCs w:val="24"/>
              </w:rPr>
              <w:t xml:space="preserve"> 3.197.075,24</w:t>
            </w:r>
          </w:p>
        </w:tc>
        <w:tc>
          <w:tcPr>
            <w:tcW w:w="1716" w:type="dxa"/>
            <w:noWrap/>
          </w:tcPr>
          <w:p w:rsidR="003506D2" w:rsidRDefault="002869C2" w:rsidP="002869C2">
            <w:pPr>
              <w:autoSpaceDE w:val="0"/>
              <w:autoSpaceDN w:val="0"/>
              <w:adjustRightInd w:val="0"/>
              <w:jc w:val="center"/>
              <w:rPr>
                <w:rFonts w:ascii="Unit-Regular" w:hAnsi="Unit-Regular"/>
                <w:b/>
                <w:szCs w:val="24"/>
              </w:rPr>
            </w:pPr>
            <w:r>
              <w:rPr>
                <w:rFonts w:ascii="Unit-Regular" w:hAnsi="Unit-Regular"/>
                <w:b/>
                <w:szCs w:val="24"/>
              </w:rPr>
              <w:t xml:space="preserve"> </w:t>
            </w:r>
            <w:r w:rsidR="003506D2">
              <w:rPr>
                <w:rFonts w:ascii="Unit-Regular" w:hAnsi="Unit-Regular"/>
                <w:b/>
                <w:szCs w:val="24"/>
              </w:rPr>
              <w:t>-</w:t>
            </w:r>
            <w:r>
              <w:rPr>
                <w:rFonts w:ascii="Unit-Regular" w:hAnsi="Unit-Regular"/>
                <w:b/>
                <w:szCs w:val="24"/>
              </w:rPr>
              <w:t>259.838,66</w:t>
            </w:r>
          </w:p>
        </w:tc>
      </w:tr>
      <w:tr w:rsidR="002869C2" w:rsidRPr="007913E4" w:rsidTr="004000B3">
        <w:trPr>
          <w:trHeight w:val="315"/>
        </w:trPr>
        <w:tc>
          <w:tcPr>
            <w:tcW w:w="1270" w:type="dxa"/>
            <w:noWrap/>
          </w:tcPr>
          <w:p w:rsidR="002869C2" w:rsidRPr="00C709A5" w:rsidRDefault="002869C2" w:rsidP="004000B3">
            <w:pPr>
              <w:autoSpaceDE w:val="0"/>
              <w:autoSpaceDN w:val="0"/>
              <w:adjustRightInd w:val="0"/>
              <w:jc w:val="both"/>
              <w:rPr>
                <w:rFonts w:ascii="Unit-Regular" w:hAnsi="Unit-Regular"/>
                <w:szCs w:val="24"/>
              </w:rPr>
            </w:pPr>
            <w:r w:rsidRPr="00C709A5">
              <w:rPr>
                <w:rFonts w:ascii="Unit-Regular" w:hAnsi="Unit-Regular"/>
                <w:szCs w:val="24"/>
              </w:rPr>
              <w:t>201000</w:t>
            </w:r>
          </w:p>
        </w:tc>
        <w:tc>
          <w:tcPr>
            <w:tcW w:w="2553" w:type="dxa"/>
            <w:noWrap/>
          </w:tcPr>
          <w:p w:rsidR="002869C2" w:rsidRPr="00C709A5" w:rsidRDefault="002869C2" w:rsidP="004000B3">
            <w:pPr>
              <w:autoSpaceDE w:val="0"/>
              <w:autoSpaceDN w:val="0"/>
              <w:adjustRightInd w:val="0"/>
              <w:jc w:val="both"/>
              <w:rPr>
                <w:rFonts w:ascii="Unit-Regular" w:hAnsi="Unit-Regular"/>
                <w:szCs w:val="24"/>
              </w:rPr>
            </w:pPr>
            <w:r w:rsidRPr="00C709A5">
              <w:rPr>
                <w:rFonts w:ascii="Unit-Regular" w:hAnsi="Unit-Regular"/>
                <w:szCs w:val="24"/>
              </w:rPr>
              <w:t xml:space="preserve">Veränderung </w:t>
            </w:r>
            <w:r w:rsidR="00C709A5">
              <w:rPr>
                <w:rFonts w:ascii="Unit-Regular" w:hAnsi="Unit-Regular"/>
                <w:szCs w:val="24"/>
              </w:rPr>
              <w:t xml:space="preserve">Basiskapital durch </w:t>
            </w:r>
            <w:r w:rsidRPr="00C709A5">
              <w:rPr>
                <w:rFonts w:ascii="Unit-Regular" w:hAnsi="Unit-Regular"/>
                <w:szCs w:val="24"/>
              </w:rPr>
              <w:t xml:space="preserve">Buchung </w:t>
            </w:r>
            <w:r w:rsidR="00C709A5">
              <w:rPr>
                <w:rFonts w:ascii="Unit-Regular" w:hAnsi="Unit-Regular"/>
                <w:szCs w:val="24"/>
              </w:rPr>
              <w:t xml:space="preserve">Fehlbetrag des </w:t>
            </w:r>
            <w:r w:rsidRPr="00C709A5">
              <w:rPr>
                <w:rFonts w:ascii="Unit-Regular" w:hAnsi="Unit-Regular"/>
                <w:szCs w:val="24"/>
              </w:rPr>
              <w:t>Sonder</w:t>
            </w:r>
            <w:r w:rsidR="00C709A5" w:rsidRPr="00C709A5">
              <w:rPr>
                <w:rFonts w:ascii="Unit-Regular" w:hAnsi="Unit-Regular"/>
                <w:szCs w:val="24"/>
              </w:rPr>
              <w:t>er</w:t>
            </w:r>
            <w:r w:rsidRPr="00C709A5">
              <w:rPr>
                <w:rFonts w:ascii="Unit-Regular" w:hAnsi="Unit-Regular"/>
                <w:szCs w:val="24"/>
              </w:rPr>
              <w:t>gebnis gegen Basiskapital in JA 2016</w:t>
            </w:r>
          </w:p>
        </w:tc>
        <w:tc>
          <w:tcPr>
            <w:tcW w:w="1702" w:type="dxa"/>
            <w:noWrap/>
          </w:tcPr>
          <w:p w:rsidR="002869C2" w:rsidRPr="00C709A5" w:rsidRDefault="00C709A5" w:rsidP="004000B3">
            <w:pPr>
              <w:autoSpaceDE w:val="0"/>
              <w:autoSpaceDN w:val="0"/>
              <w:adjustRightInd w:val="0"/>
              <w:jc w:val="both"/>
              <w:rPr>
                <w:rFonts w:ascii="Unit-Regular" w:hAnsi="Unit-Regular"/>
                <w:szCs w:val="24"/>
              </w:rPr>
            </w:pPr>
            <w:r w:rsidRPr="00C709A5">
              <w:rPr>
                <w:rFonts w:ascii="Unit-Regular" w:hAnsi="Unit-Regular"/>
                <w:szCs w:val="24"/>
              </w:rPr>
              <w:t xml:space="preserve">    124.187,06</w:t>
            </w:r>
          </w:p>
        </w:tc>
        <w:tc>
          <w:tcPr>
            <w:tcW w:w="1819" w:type="dxa"/>
            <w:noWrap/>
          </w:tcPr>
          <w:p w:rsidR="002869C2" w:rsidRPr="00C709A5" w:rsidRDefault="002869C2" w:rsidP="004000B3">
            <w:pPr>
              <w:autoSpaceDE w:val="0"/>
              <w:autoSpaceDN w:val="0"/>
              <w:adjustRightInd w:val="0"/>
              <w:jc w:val="both"/>
              <w:rPr>
                <w:rFonts w:ascii="Unit-Regular" w:hAnsi="Unit-Regular"/>
                <w:szCs w:val="24"/>
              </w:rPr>
            </w:pPr>
          </w:p>
        </w:tc>
        <w:tc>
          <w:tcPr>
            <w:tcW w:w="1716" w:type="dxa"/>
            <w:noWrap/>
          </w:tcPr>
          <w:p w:rsidR="002869C2" w:rsidRPr="00C709A5" w:rsidRDefault="00C709A5" w:rsidP="002869C2">
            <w:pPr>
              <w:autoSpaceDE w:val="0"/>
              <w:autoSpaceDN w:val="0"/>
              <w:adjustRightInd w:val="0"/>
              <w:jc w:val="both"/>
              <w:rPr>
                <w:rFonts w:ascii="Unit-Regular" w:hAnsi="Unit-Regular"/>
                <w:szCs w:val="24"/>
              </w:rPr>
            </w:pPr>
            <w:r w:rsidRPr="00C709A5">
              <w:rPr>
                <w:rFonts w:ascii="Unit-Regular" w:hAnsi="Unit-Regular"/>
                <w:szCs w:val="24"/>
              </w:rPr>
              <w:t xml:space="preserve">     124.187,06</w:t>
            </w:r>
          </w:p>
        </w:tc>
      </w:tr>
      <w:tr w:rsidR="003506D2" w:rsidRPr="007913E4" w:rsidTr="004000B3">
        <w:trPr>
          <w:trHeight w:val="315"/>
        </w:trPr>
        <w:tc>
          <w:tcPr>
            <w:tcW w:w="1270" w:type="dxa"/>
            <w:noWrap/>
            <w:hideMark/>
          </w:tcPr>
          <w:p w:rsidR="003506D2" w:rsidRPr="007913E4" w:rsidRDefault="003506D2" w:rsidP="004000B3">
            <w:pPr>
              <w:autoSpaceDE w:val="0"/>
              <w:autoSpaceDN w:val="0"/>
              <w:adjustRightInd w:val="0"/>
              <w:jc w:val="both"/>
              <w:rPr>
                <w:rFonts w:ascii="Unit-Regular" w:hAnsi="Unit-Regular"/>
                <w:b/>
                <w:szCs w:val="24"/>
              </w:rPr>
            </w:pPr>
            <w:r>
              <w:rPr>
                <w:rFonts w:ascii="Unit-Regular" w:hAnsi="Unit-Regular"/>
                <w:b/>
                <w:szCs w:val="24"/>
              </w:rPr>
              <w:t>201000</w:t>
            </w:r>
          </w:p>
        </w:tc>
        <w:tc>
          <w:tcPr>
            <w:tcW w:w="2553" w:type="dxa"/>
            <w:noWrap/>
            <w:hideMark/>
          </w:tcPr>
          <w:p w:rsidR="003506D2" w:rsidRPr="007913E4" w:rsidRDefault="003506D2" w:rsidP="004000B3">
            <w:pPr>
              <w:autoSpaceDE w:val="0"/>
              <w:autoSpaceDN w:val="0"/>
              <w:adjustRightInd w:val="0"/>
              <w:jc w:val="both"/>
              <w:rPr>
                <w:rFonts w:ascii="Unit-Regular" w:hAnsi="Unit-Regular"/>
                <w:b/>
                <w:szCs w:val="24"/>
              </w:rPr>
            </w:pPr>
            <w:r w:rsidRPr="007913E4">
              <w:rPr>
                <w:rFonts w:ascii="Unit-Regular" w:hAnsi="Unit-Regular"/>
                <w:b/>
                <w:szCs w:val="24"/>
              </w:rPr>
              <w:t xml:space="preserve">Endbestand </w:t>
            </w:r>
            <w:r>
              <w:rPr>
                <w:rFonts w:ascii="Unit-Regular" w:hAnsi="Unit-Regular"/>
                <w:b/>
                <w:szCs w:val="24"/>
              </w:rPr>
              <w:t>Basis</w:t>
            </w:r>
            <w:r w:rsidRPr="007913E4">
              <w:rPr>
                <w:rFonts w:ascii="Unit-Regular" w:hAnsi="Unit-Regular"/>
                <w:b/>
                <w:szCs w:val="24"/>
              </w:rPr>
              <w:t>kapital</w:t>
            </w:r>
          </w:p>
        </w:tc>
        <w:tc>
          <w:tcPr>
            <w:tcW w:w="1702" w:type="dxa"/>
            <w:noWrap/>
            <w:hideMark/>
          </w:tcPr>
          <w:p w:rsidR="003506D2" w:rsidRPr="007913E4" w:rsidRDefault="003506D2" w:rsidP="004000B3">
            <w:pPr>
              <w:autoSpaceDE w:val="0"/>
              <w:autoSpaceDN w:val="0"/>
              <w:adjustRightInd w:val="0"/>
              <w:jc w:val="both"/>
              <w:rPr>
                <w:rFonts w:ascii="Unit-Regular" w:hAnsi="Unit-Regular"/>
                <w:b/>
                <w:szCs w:val="24"/>
              </w:rPr>
            </w:pPr>
            <w:r w:rsidRPr="007913E4">
              <w:rPr>
                <w:rFonts w:ascii="Unit-Regular" w:hAnsi="Unit-Regular"/>
                <w:b/>
                <w:szCs w:val="24"/>
              </w:rPr>
              <w:t> </w:t>
            </w:r>
          </w:p>
        </w:tc>
        <w:tc>
          <w:tcPr>
            <w:tcW w:w="1819" w:type="dxa"/>
            <w:noWrap/>
            <w:hideMark/>
          </w:tcPr>
          <w:p w:rsidR="003506D2" w:rsidRPr="007913E4" w:rsidRDefault="003506D2" w:rsidP="004000B3">
            <w:pPr>
              <w:autoSpaceDE w:val="0"/>
              <w:autoSpaceDN w:val="0"/>
              <w:adjustRightInd w:val="0"/>
              <w:jc w:val="both"/>
              <w:rPr>
                <w:rFonts w:ascii="Unit-Regular" w:hAnsi="Unit-Regular"/>
                <w:b/>
                <w:szCs w:val="24"/>
              </w:rPr>
            </w:pPr>
            <w:r>
              <w:rPr>
                <w:rFonts w:ascii="Unit-Regular" w:hAnsi="Unit-Regular"/>
                <w:b/>
                <w:szCs w:val="24"/>
              </w:rPr>
              <w:t xml:space="preserve">  </w:t>
            </w:r>
          </w:p>
        </w:tc>
        <w:tc>
          <w:tcPr>
            <w:tcW w:w="1716" w:type="dxa"/>
            <w:noWrap/>
            <w:hideMark/>
          </w:tcPr>
          <w:p w:rsidR="003506D2" w:rsidRPr="007913E4" w:rsidRDefault="003506D2" w:rsidP="002869C2">
            <w:pPr>
              <w:autoSpaceDE w:val="0"/>
              <w:autoSpaceDN w:val="0"/>
              <w:adjustRightInd w:val="0"/>
              <w:jc w:val="both"/>
              <w:rPr>
                <w:rFonts w:ascii="Unit-Regular" w:hAnsi="Unit-Regular"/>
                <w:b/>
                <w:szCs w:val="24"/>
              </w:rPr>
            </w:pPr>
            <w:r w:rsidRPr="007913E4">
              <w:rPr>
                <w:rFonts w:ascii="Unit-Regular" w:hAnsi="Unit-Regular"/>
                <w:b/>
                <w:szCs w:val="24"/>
              </w:rPr>
              <w:t>15.</w:t>
            </w:r>
            <w:r w:rsidR="002869C2">
              <w:rPr>
                <w:rFonts w:ascii="Unit-Regular" w:hAnsi="Unit-Regular"/>
                <w:b/>
                <w:szCs w:val="24"/>
              </w:rPr>
              <w:t>493.533,07</w:t>
            </w:r>
          </w:p>
        </w:tc>
      </w:tr>
    </w:tbl>
    <w:p w:rsidR="003506D2" w:rsidRPr="00357CCE" w:rsidRDefault="003506D2" w:rsidP="00357CCE">
      <w:pPr>
        <w:rPr>
          <w:szCs w:val="24"/>
        </w:rPr>
      </w:pPr>
    </w:p>
    <w:p w:rsidR="00357CCE" w:rsidRPr="00357CCE" w:rsidRDefault="00357CCE" w:rsidP="00357CCE">
      <w:pPr>
        <w:autoSpaceDE w:val="0"/>
        <w:autoSpaceDN w:val="0"/>
        <w:adjustRightInd w:val="0"/>
        <w:jc w:val="both"/>
        <w:rPr>
          <w:szCs w:val="24"/>
        </w:rPr>
      </w:pPr>
    </w:p>
    <w:p w:rsidR="00357CCE" w:rsidRPr="00357CCE" w:rsidRDefault="00357CCE" w:rsidP="00357CCE">
      <w:pPr>
        <w:spacing w:after="120"/>
        <w:rPr>
          <w:szCs w:val="24"/>
        </w:rPr>
      </w:pPr>
      <w:r w:rsidRPr="00357CCE">
        <w:rPr>
          <w:szCs w:val="24"/>
        </w:rPr>
        <w:t>Der Prüfbericht der örtlichen Rechnungsprüfung über den Jahresabschluss ist dem Beschluss als Anlage</w:t>
      </w:r>
      <w:r w:rsidR="00F03AF1">
        <w:rPr>
          <w:szCs w:val="24"/>
        </w:rPr>
        <w:t xml:space="preserve"> 1</w:t>
      </w:r>
      <w:r w:rsidR="00811502">
        <w:rPr>
          <w:szCs w:val="24"/>
        </w:rPr>
        <w:t xml:space="preserve"> </w:t>
      </w:r>
      <w:r w:rsidRPr="00357CCE">
        <w:rPr>
          <w:szCs w:val="24"/>
        </w:rPr>
        <w:t>beigefügt.</w:t>
      </w:r>
    </w:p>
    <w:p w:rsidR="005D1772" w:rsidRPr="00134496" w:rsidRDefault="005D1772" w:rsidP="005D1772">
      <w:pPr>
        <w:jc w:val="both"/>
      </w:pPr>
    </w:p>
    <w:p w:rsidR="007C64D4" w:rsidRPr="00C42E5A" w:rsidRDefault="00357CCE" w:rsidP="007C64D4">
      <w:pPr>
        <w:jc w:val="both"/>
      </w:pPr>
      <w:r w:rsidRPr="005120DF">
        <w:t>Die Stadt Regis-Breitingen wird beauftragt, dem LRA Landkreis Leipzig diesen Beschluss unverzüglich anzuzeigen und zusammen mit dem Jahresabschluss ortsüblich bekannt zu</w:t>
      </w:r>
      <w:r w:rsidR="00227C70">
        <w:t xml:space="preserve"> </w:t>
      </w:r>
      <w:r w:rsidRPr="005120DF">
        <w:t xml:space="preserve">geben. In der Bekanntgabe ist daraufhin zu weisen, dass der Jahresabschluss mit Rechenschaftsbericht und Anhang im Rathaus Regis-Breitingen während der üblichen Dienststunden vom </w:t>
      </w:r>
      <w:r w:rsidR="00764497">
        <w:rPr>
          <w:b/>
        </w:rPr>
        <w:t>30.04</w:t>
      </w:r>
      <w:r w:rsidR="00227C70">
        <w:rPr>
          <w:b/>
        </w:rPr>
        <w:t>.2024</w:t>
      </w:r>
      <w:r w:rsidRPr="005120DF">
        <w:t xml:space="preserve"> öffentlich ausliegt.</w:t>
      </w:r>
      <w:r w:rsidR="007C64D4" w:rsidRPr="007C64D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7C64D4" w:rsidRPr="00C42E5A">
        <w:t xml:space="preserve">Gleichzeitig soll darauf hingewiesen werden, dass auf </w:t>
      </w:r>
    </w:p>
    <w:p w:rsidR="007C64D4" w:rsidRPr="00C42E5A" w:rsidRDefault="00C42E5A" w:rsidP="007C64D4">
      <w:pPr>
        <w:jc w:val="both"/>
      </w:pPr>
      <w:r w:rsidRPr="00C42E5A">
        <w:t xml:space="preserve">der Internetseite der Stadt </w:t>
      </w:r>
      <w:r w:rsidRPr="00C42E5A">
        <w:rPr>
          <w:b/>
        </w:rPr>
        <w:t xml:space="preserve">www.stadt-regis-breitingen.de </w:t>
      </w:r>
      <w:r w:rsidR="007C64D4" w:rsidRPr="00C42E5A">
        <w:t xml:space="preserve">ebenfalls ab dem </w:t>
      </w:r>
      <w:r w:rsidR="00764497">
        <w:rPr>
          <w:b/>
        </w:rPr>
        <w:t>30.04</w:t>
      </w:r>
      <w:r w:rsidR="00227C70" w:rsidRPr="00C42E5A">
        <w:rPr>
          <w:b/>
        </w:rPr>
        <w:t>.2024</w:t>
      </w:r>
      <w:r w:rsidR="007C64D4" w:rsidRPr="00C42E5A">
        <w:t xml:space="preserve"> Einsicht in die Unterlagen zum Jahresabschluss 201</w:t>
      </w:r>
      <w:r>
        <w:t>6</w:t>
      </w:r>
      <w:r w:rsidR="007C64D4" w:rsidRPr="00C42E5A">
        <w:t xml:space="preserve"> genommen werden kann.</w:t>
      </w:r>
    </w:p>
    <w:p w:rsidR="00357CCE" w:rsidRPr="00C42E5A" w:rsidRDefault="00357CCE" w:rsidP="00357CCE">
      <w:pPr>
        <w:pStyle w:val="Textkrper"/>
        <w:jc w:val="both"/>
        <w:rPr>
          <w:szCs w:val="20"/>
        </w:rPr>
      </w:pPr>
    </w:p>
    <w:p w:rsidR="001E5580" w:rsidRDefault="001E5580" w:rsidP="00863EF1">
      <w:pPr>
        <w:tabs>
          <w:tab w:val="right" w:leader="dot" w:pos="9072"/>
        </w:tabs>
        <w:rPr>
          <w:b/>
          <w:szCs w:val="24"/>
          <w:u w:val="single"/>
        </w:rPr>
      </w:pPr>
    </w:p>
    <w:p w:rsidR="002333D2" w:rsidRPr="001E5580" w:rsidRDefault="002333D2" w:rsidP="00863EF1">
      <w:pPr>
        <w:tabs>
          <w:tab w:val="right" w:leader="dot" w:pos="9072"/>
        </w:tabs>
        <w:rPr>
          <w:szCs w:val="24"/>
        </w:rPr>
      </w:pPr>
    </w:p>
    <w:p w:rsidR="000B7D5C" w:rsidRPr="00117694" w:rsidRDefault="000B7D5C" w:rsidP="000B7D5C">
      <w:pPr>
        <w:jc w:val="both"/>
        <w:rPr>
          <w:rFonts w:ascii="Unit-Regular" w:hAnsi="Unit-Regular"/>
          <w:sz w:val="22"/>
          <w:szCs w:val="18"/>
        </w:rPr>
      </w:pPr>
      <w:r w:rsidRPr="00117694">
        <w:rPr>
          <w:rFonts w:ascii="Unit-Regular" w:hAnsi="Unit-Regular"/>
          <w:sz w:val="22"/>
          <w:szCs w:val="18"/>
        </w:rPr>
        <w:t xml:space="preserve">Von der Beratung und Beschlussfassung war kein Mitglied des </w:t>
      </w:r>
      <w:r>
        <w:rPr>
          <w:rFonts w:ascii="Unit-Regular" w:hAnsi="Unit-Regular"/>
          <w:sz w:val="22"/>
          <w:szCs w:val="18"/>
        </w:rPr>
        <w:t>Stadtrates</w:t>
      </w:r>
      <w:r w:rsidRPr="00117694">
        <w:rPr>
          <w:rFonts w:ascii="Unit-Regular" w:hAnsi="Unit-Regular"/>
          <w:sz w:val="22"/>
          <w:szCs w:val="18"/>
        </w:rPr>
        <w:t xml:space="preserve"> ausgeschlossen.</w:t>
      </w:r>
    </w:p>
    <w:p w:rsidR="000B7D5C" w:rsidRDefault="000B7D5C" w:rsidP="000B7D5C">
      <w:pPr>
        <w:rPr>
          <w:rFonts w:ascii="Unit-Regular" w:hAnsi="Unit-Regular"/>
          <w:sz w:val="18"/>
          <w:szCs w:val="18"/>
        </w:rPr>
      </w:pPr>
    </w:p>
    <w:p w:rsidR="000B7D5C" w:rsidRPr="004A5171" w:rsidRDefault="000B7D5C" w:rsidP="000B7D5C">
      <w:pPr>
        <w:rPr>
          <w:rFonts w:ascii="Unit-Regular" w:hAnsi="Unit-Regular"/>
          <w:sz w:val="18"/>
          <w:szCs w:val="18"/>
        </w:rPr>
      </w:pPr>
    </w:p>
    <w:p w:rsidR="000B7D5C" w:rsidRPr="007B3212" w:rsidRDefault="000B7D5C" w:rsidP="000B7D5C">
      <w:pPr>
        <w:pStyle w:val="Textkrper"/>
        <w:rPr>
          <w:rFonts w:ascii="Unit-Regular" w:hAnsi="Unit-Regular"/>
          <w:b/>
        </w:rPr>
      </w:pPr>
      <w:r w:rsidRPr="007B3212">
        <w:rPr>
          <w:rFonts w:ascii="Unit-Regular" w:hAnsi="Unit-Regular"/>
          <w:b/>
        </w:rPr>
        <w:t>Abstimmungsergebnis: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71"/>
        <w:gridCol w:w="660"/>
        <w:gridCol w:w="3828"/>
        <w:gridCol w:w="708"/>
      </w:tblGrid>
      <w:tr w:rsidR="000B7D5C" w:rsidRPr="007B3212" w:rsidTr="00622AAC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B7D5C" w:rsidRPr="007B3212" w:rsidRDefault="000B7D5C" w:rsidP="00622AAC">
            <w:pPr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Mitglieder Stadtrat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B7D5C" w:rsidRPr="007B3212" w:rsidRDefault="000B7D5C" w:rsidP="00622AAC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0B7D5C" w:rsidRPr="007B3212" w:rsidRDefault="000B7D5C" w:rsidP="00622AAC">
            <w:pPr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davon anwesend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0B7D5C" w:rsidRPr="007B3212" w:rsidRDefault="000B7D5C" w:rsidP="00622AAC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0B7D5C" w:rsidRPr="007B3212" w:rsidTr="00622AAC">
        <w:trPr>
          <w:trHeight w:val="454"/>
        </w:trPr>
        <w:tc>
          <w:tcPr>
            <w:tcW w:w="387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C" w:rsidRPr="007B3212" w:rsidRDefault="000B7D5C" w:rsidP="00622AAC">
            <w:pPr>
              <w:ind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Ja-</w:t>
            </w: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</w:t>
            </w:r>
          </w:p>
        </w:tc>
        <w:tc>
          <w:tcPr>
            <w:tcW w:w="6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7D5C" w:rsidRPr="007B3212" w:rsidRDefault="000B7D5C" w:rsidP="00622AAC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C" w:rsidRPr="007B3212" w:rsidRDefault="000B7D5C" w:rsidP="00622AAC">
            <w:pPr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Nein-Stimmen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5C" w:rsidRPr="007B3212" w:rsidRDefault="000B7D5C" w:rsidP="00622AAC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0B7D5C" w:rsidRPr="007B3212" w:rsidTr="00622AAC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B7D5C" w:rsidRPr="007B3212" w:rsidRDefault="000B7D5C" w:rsidP="00622AAC">
            <w:pPr>
              <w:ind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Stimmenthaltungen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B7D5C" w:rsidRPr="007B3212" w:rsidRDefault="000B7D5C" w:rsidP="00622AAC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7D5C" w:rsidRPr="007B3212" w:rsidRDefault="000B7D5C" w:rsidP="00622AAC">
            <w:pPr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7D5C" w:rsidRPr="007B3212" w:rsidRDefault="000B7D5C" w:rsidP="00622AAC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</w:tr>
      <w:tr w:rsidR="000B7D5C" w:rsidRPr="007B3212" w:rsidTr="00622AAC">
        <w:trPr>
          <w:trHeight w:val="454"/>
        </w:trPr>
        <w:tc>
          <w:tcPr>
            <w:tcW w:w="3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C" w:rsidRPr="007B3212" w:rsidRDefault="000B7D5C" w:rsidP="00622AAC">
            <w:pPr>
              <w:ind w:firstLine="22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beschlossen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5C" w:rsidRPr="007B3212" w:rsidRDefault="000B7D5C" w:rsidP="00622AAC">
            <w:pPr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D5C" w:rsidRPr="007B3212" w:rsidRDefault="000B7D5C" w:rsidP="00622AAC">
            <w:pPr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nicht beschlossen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5C" w:rsidRPr="007B3212" w:rsidRDefault="000B7D5C" w:rsidP="00622AAC">
            <w:pPr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</w:tr>
    </w:tbl>
    <w:p w:rsidR="003250EC" w:rsidRDefault="003250EC">
      <w:pPr>
        <w:rPr>
          <w:rFonts w:ascii="Arial" w:hAnsi="Arial" w:cs="Arial"/>
          <w:snapToGrid w:val="0"/>
        </w:rPr>
      </w:pPr>
    </w:p>
    <w:p w:rsidR="000B7D5C" w:rsidRDefault="000B7D5C">
      <w:bookmarkStart w:id="0" w:name="_GoBack"/>
      <w:bookmarkEnd w:id="0"/>
    </w:p>
    <w:sectPr w:rsidR="000B7D5C" w:rsidSect="003250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t-Regular">
    <w:altName w:val="Franklin Gothic Medium Cond"/>
    <w:panose1 w:val="02000506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303D3"/>
    <w:multiLevelType w:val="hybridMultilevel"/>
    <w:tmpl w:val="842AA480"/>
    <w:lvl w:ilvl="0" w:tplc="CD34E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F1"/>
    <w:rsid w:val="00011623"/>
    <w:rsid w:val="000267F3"/>
    <w:rsid w:val="00074B42"/>
    <w:rsid w:val="000B7D5C"/>
    <w:rsid w:val="000E595A"/>
    <w:rsid w:val="00104D64"/>
    <w:rsid w:val="001124F7"/>
    <w:rsid w:val="00117CCA"/>
    <w:rsid w:val="00122253"/>
    <w:rsid w:val="00130341"/>
    <w:rsid w:val="00165B79"/>
    <w:rsid w:val="00196C62"/>
    <w:rsid w:val="001E5580"/>
    <w:rsid w:val="002036EB"/>
    <w:rsid w:val="0020729F"/>
    <w:rsid w:val="00216A01"/>
    <w:rsid w:val="00227C70"/>
    <w:rsid w:val="002333D2"/>
    <w:rsid w:val="0023390D"/>
    <w:rsid w:val="002645BA"/>
    <w:rsid w:val="002869C2"/>
    <w:rsid w:val="0029676D"/>
    <w:rsid w:val="002B1D7D"/>
    <w:rsid w:val="002C432F"/>
    <w:rsid w:val="002D4555"/>
    <w:rsid w:val="002E388A"/>
    <w:rsid w:val="00314A50"/>
    <w:rsid w:val="00320482"/>
    <w:rsid w:val="0032267B"/>
    <w:rsid w:val="003250EC"/>
    <w:rsid w:val="00335738"/>
    <w:rsid w:val="00347171"/>
    <w:rsid w:val="003506D2"/>
    <w:rsid w:val="00355CDD"/>
    <w:rsid w:val="00357CCE"/>
    <w:rsid w:val="00362F1D"/>
    <w:rsid w:val="003703AF"/>
    <w:rsid w:val="00373B49"/>
    <w:rsid w:val="00382C57"/>
    <w:rsid w:val="003B417D"/>
    <w:rsid w:val="003B72ED"/>
    <w:rsid w:val="003E4760"/>
    <w:rsid w:val="003F6B19"/>
    <w:rsid w:val="003F7A40"/>
    <w:rsid w:val="0040578C"/>
    <w:rsid w:val="0043378A"/>
    <w:rsid w:val="00434A27"/>
    <w:rsid w:val="004403BE"/>
    <w:rsid w:val="00464644"/>
    <w:rsid w:val="004745D7"/>
    <w:rsid w:val="00490B1E"/>
    <w:rsid w:val="004B33A9"/>
    <w:rsid w:val="004B34DA"/>
    <w:rsid w:val="004E72EF"/>
    <w:rsid w:val="004F3EA7"/>
    <w:rsid w:val="00506400"/>
    <w:rsid w:val="00507818"/>
    <w:rsid w:val="00520C66"/>
    <w:rsid w:val="005253EA"/>
    <w:rsid w:val="005331E8"/>
    <w:rsid w:val="0053575D"/>
    <w:rsid w:val="00560EC4"/>
    <w:rsid w:val="0057702A"/>
    <w:rsid w:val="005775F1"/>
    <w:rsid w:val="00595F70"/>
    <w:rsid w:val="005A04E1"/>
    <w:rsid w:val="005A2BDB"/>
    <w:rsid w:val="005A638F"/>
    <w:rsid w:val="005A6CCC"/>
    <w:rsid w:val="005D1772"/>
    <w:rsid w:val="005E3A6E"/>
    <w:rsid w:val="005E5236"/>
    <w:rsid w:val="0062417C"/>
    <w:rsid w:val="00640057"/>
    <w:rsid w:val="006525DA"/>
    <w:rsid w:val="00675101"/>
    <w:rsid w:val="00686C69"/>
    <w:rsid w:val="006B6A86"/>
    <w:rsid w:val="006C3A2E"/>
    <w:rsid w:val="006D64D6"/>
    <w:rsid w:val="006E3620"/>
    <w:rsid w:val="006E43B3"/>
    <w:rsid w:val="00712418"/>
    <w:rsid w:val="00716A98"/>
    <w:rsid w:val="007418F8"/>
    <w:rsid w:val="007639F9"/>
    <w:rsid w:val="00764497"/>
    <w:rsid w:val="0076574D"/>
    <w:rsid w:val="0077207A"/>
    <w:rsid w:val="00794762"/>
    <w:rsid w:val="00795085"/>
    <w:rsid w:val="007C64D4"/>
    <w:rsid w:val="007E5F0D"/>
    <w:rsid w:val="00811502"/>
    <w:rsid w:val="0081288C"/>
    <w:rsid w:val="00817CA7"/>
    <w:rsid w:val="00833519"/>
    <w:rsid w:val="00835E39"/>
    <w:rsid w:val="00851BE9"/>
    <w:rsid w:val="00863EF1"/>
    <w:rsid w:val="0086621E"/>
    <w:rsid w:val="008801A1"/>
    <w:rsid w:val="00886B3B"/>
    <w:rsid w:val="00893A0B"/>
    <w:rsid w:val="008B0B45"/>
    <w:rsid w:val="008B45C4"/>
    <w:rsid w:val="008D0334"/>
    <w:rsid w:val="008D7FB2"/>
    <w:rsid w:val="008E111E"/>
    <w:rsid w:val="008E7348"/>
    <w:rsid w:val="008F43E8"/>
    <w:rsid w:val="008F5EA2"/>
    <w:rsid w:val="009200A3"/>
    <w:rsid w:val="00921E6E"/>
    <w:rsid w:val="009234E7"/>
    <w:rsid w:val="0092511D"/>
    <w:rsid w:val="009317CB"/>
    <w:rsid w:val="00941A91"/>
    <w:rsid w:val="00941BCA"/>
    <w:rsid w:val="00951B82"/>
    <w:rsid w:val="00970BE6"/>
    <w:rsid w:val="0097443E"/>
    <w:rsid w:val="00984662"/>
    <w:rsid w:val="009A6DE5"/>
    <w:rsid w:val="009B08BF"/>
    <w:rsid w:val="009B49B5"/>
    <w:rsid w:val="009B4D4C"/>
    <w:rsid w:val="009C145C"/>
    <w:rsid w:val="009D2175"/>
    <w:rsid w:val="009E4591"/>
    <w:rsid w:val="00A00D3F"/>
    <w:rsid w:val="00A071C7"/>
    <w:rsid w:val="00A30E21"/>
    <w:rsid w:val="00A575A2"/>
    <w:rsid w:val="00A63861"/>
    <w:rsid w:val="00A65B75"/>
    <w:rsid w:val="00A75883"/>
    <w:rsid w:val="00A92E70"/>
    <w:rsid w:val="00AA0F30"/>
    <w:rsid w:val="00AA28DB"/>
    <w:rsid w:val="00AB697E"/>
    <w:rsid w:val="00AC0178"/>
    <w:rsid w:val="00AE45E1"/>
    <w:rsid w:val="00B01CEC"/>
    <w:rsid w:val="00B1173F"/>
    <w:rsid w:val="00B1315D"/>
    <w:rsid w:val="00B465FA"/>
    <w:rsid w:val="00B5138B"/>
    <w:rsid w:val="00B531C9"/>
    <w:rsid w:val="00B82E10"/>
    <w:rsid w:val="00BB313C"/>
    <w:rsid w:val="00BE3F4B"/>
    <w:rsid w:val="00BE4832"/>
    <w:rsid w:val="00C0716B"/>
    <w:rsid w:val="00C154BC"/>
    <w:rsid w:val="00C42E5A"/>
    <w:rsid w:val="00C459D4"/>
    <w:rsid w:val="00C468BF"/>
    <w:rsid w:val="00C54341"/>
    <w:rsid w:val="00C635A7"/>
    <w:rsid w:val="00C709A5"/>
    <w:rsid w:val="00C77F6E"/>
    <w:rsid w:val="00C83B24"/>
    <w:rsid w:val="00C87FB9"/>
    <w:rsid w:val="00CA55AE"/>
    <w:rsid w:val="00D05533"/>
    <w:rsid w:val="00D10255"/>
    <w:rsid w:val="00D25A05"/>
    <w:rsid w:val="00D25AB4"/>
    <w:rsid w:val="00D4180E"/>
    <w:rsid w:val="00D451EC"/>
    <w:rsid w:val="00D47ED6"/>
    <w:rsid w:val="00D541B2"/>
    <w:rsid w:val="00D54672"/>
    <w:rsid w:val="00D72D39"/>
    <w:rsid w:val="00D76747"/>
    <w:rsid w:val="00D76AEA"/>
    <w:rsid w:val="00D773EF"/>
    <w:rsid w:val="00D82231"/>
    <w:rsid w:val="00D8311C"/>
    <w:rsid w:val="00D93A4F"/>
    <w:rsid w:val="00DA2E23"/>
    <w:rsid w:val="00DA3DEF"/>
    <w:rsid w:val="00DD538A"/>
    <w:rsid w:val="00DF24D5"/>
    <w:rsid w:val="00DF3B84"/>
    <w:rsid w:val="00E10034"/>
    <w:rsid w:val="00E2086C"/>
    <w:rsid w:val="00E32743"/>
    <w:rsid w:val="00E3755D"/>
    <w:rsid w:val="00E50C75"/>
    <w:rsid w:val="00E54B46"/>
    <w:rsid w:val="00E56FE8"/>
    <w:rsid w:val="00E6596F"/>
    <w:rsid w:val="00E675C9"/>
    <w:rsid w:val="00E74A3A"/>
    <w:rsid w:val="00E84148"/>
    <w:rsid w:val="00E866B9"/>
    <w:rsid w:val="00E87695"/>
    <w:rsid w:val="00ED61F6"/>
    <w:rsid w:val="00EE5823"/>
    <w:rsid w:val="00EF7DA8"/>
    <w:rsid w:val="00F00181"/>
    <w:rsid w:val="00F03AF1"/>
    <w:rsid w:val="00F272A9"/>
    <w:rsid w:val="00F34428"/>
    <w:rsid w:val="00F34E18"/>
    <w:rsid w:val="00F57506"/>
    <w:rsid w:val="00F80EFF"/>
    <w:rsid w:val="00FA5D06"/>
    <w:rsid w:val="00FC3FB8"/>
    <w:rsid w:val="00FC4272"/>
    <w:rsid w:val="00FC5194"/>
    <w:rsid w:val="00FD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046B"/>
  <w15:docId w15:val="{CE8A1E61-7035-4CCD-9C80-2153D857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3EF1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63EF1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863EF1"/>
    <w:pPr>
      <w:ind w:left="720"/>
      <w:contextualSpacing/>
    </w:pPr>
    <w:rPr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519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5194"/>
    <w:rPr>
      <w:rFonts w:ascii="Segoe UI" w:eastAsia="Times New Roman" w:hAnsi="Segoe UI" w:cs="Segoe UI"/>
      <w:sz w:val="18"/>
      <w:szCs w:val="18"/>
      <w:lang w:eastAsia="de-DE"/>
    </w:rPr>
  </w:style>
  <w:style w:type="paragraph" w:styleId="Textkrper">
    <w:name w:val="Body Text"/>
    <w:basedOn w:val="Standard"/>
    <w:link w:val="TextkrperZchn"/>
    <w:uiPriority w:val="99"/>
    <w:unhideWhenUsed/>
    <w:rsid w:val="00357CCE"/>
    <w:pPr>
      <w:spacing w:after="12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357CCE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42E5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3506D2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krüger</dc:creator>
  <cp:lastModifiedBy>steiniger</cp:lastModifiedBy>
  <cp:revision>2</cp:revision>
  <cp:lastPrinted>2024-04-04T09:50:00Z</cp:lastPrinted>
  <dcterms:created xsi:type="dcterms:W3CDTF">2024-04-15T08:06:00Z</dcterms:created>
  <dcterms:modified xsi:type="dcterms:W3CDTF">2024-04-15T08:06:00Z</dcterms:modified>
</cp:coreProperties>
</file>